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990B9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Times New Roman" w:hAnsi="Times New Roman" w:cs="Times New Roman" w:eastAsiaTheme="minorEastAsia"/>
          <w:b/>
          <w:color w:val="000000" w:themeColor="text1"/>
          <w:sz w:val="48"/>
          <w:szCs w:val="48"/>
          <w:highlight w:val="none"/>
          <w14:textFill>
            <w14:solidFill>
              <w14:schemeClr w14:val="tx1"/>
            </w14:solidFill>
          </w14:textFill>
        </w:rPr>
      </w:pPr>
      <w:bookmarkStart w:id="0" w:name="_Hlk496950128"/>
    </w:p>
    <w:p w14:paraId="7EDA874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Times New Roman" w:hAnsi="Times New Roman" w:cs="Times New Roman" w:eastAsiaTheme="minorEastAsia"/>
          <w:b/>
          <w:color w:val="000000" w:themeColor="text1"/>
          <w:sz w:val="48"/>
          <w:szCs w:val="48"/>
          <w:highlight w:val="none"/>
          <w14:textFill>
            <w14:solidFill>
              <w14:schemeClr w14:val="tx1"/>
            </w14:solidFill>
          </w14:textFill>
        </w:rPr>
      </w:pPr>
    </w:p>
    <w:p w14:paraId="7F3A141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Times New Roman" w:hAnsi="Times New Roman" w:cs="Times New Roman" w:eastAsiaTheme="minorEastAsia"/>
          <w:b/>
          <w:color w:val="000000" w:themeColor="text1"/>
          <w:sz w:val="48"/>
          <w:szCs w:val="48"/>
          <w:highlight w:val="none"/>
          <w14:textFill>
            <w14:solidFill>
              <w14:schemeClr w14:val="tx1"/>
            </w14:solidFill>
          </w14:textFill>
        </w:rPr>
      </w:pPr>
    </w:p>
    <w:p w14:paraId="34A32B9F">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ascii="Times New Roman" w:hAnsi="Times New Roman" w:cs="Times New Roman" w:eastAsiaTheme="minorEastAsia"/>
          <w:b/>
          <w:color w:val="000000" w:themeColor="text1"/>
          <w:sz w:val="48"/>
          <w:szCs w:val="48"/>
          <w:highlight w:val="none"/>
          <w14:textFill>
            <w14:solidFill>
              <w14:schemeClr w14:val="tx1"/>
            </w14:solidFill>
          </w14:textFill>
        </w:rPr>
      </w:pPr>
      <w:r>
        <w:rPr>
          <w:rFonts w:hint="eastAsia" w:ascii="Times New Roman" w:hAnsi="Times New Roman" w:cs="Times New Roman" w:eastAsiaTheme="minorEastAsia"/>
          <w:b/>
          <w:color w:val="000000" w:themeColor="text1"/>
          <w:sz w:val="48"/>
          <w:szCs w:val="48"/>
          <w:highlight w:val="none"/>
          <w:lang w:eastAsia="zh-CN"/>
          <w14:textFill>
            <w14:solidFill>
              <w14:schemeClr w14:val="tx1"/>
            </w14:solidFill>
          </w14:textFill>
        </w:rPr>
        <w:t>唐山市康泰科技有限公司年产羊肉片机5000台新建项目</w:t>
      </w:r>
      <w:r>
        <w:rPr>
          <w:rFonts w:ascii="Times New Roman" w:hAnsi="Times New Roman" w:cs="Times New Roman" w:eastAsiaTheme="minorEastAsia"/>
          <w:b/>
          <w:color w:val="000000" w:themeColor="text1"/>
          <w:sz w:val="48"/>
          <w:szCs w:val="48"/>
          <w:highlight w:val="none"/>
          <w14:textFill>
            <w14:solidFill>
              <w14:schemeClr w14:val="tx1"/>
            </w14:solidFill>
          </w14:textFill>
        </w:rPr>
        <w:t>竣工环境保护</w:t>
      </w:r>
    </w:p>
    <w:p w14:paraId="36160E6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ascii="Times New Roman" w:hAnsi="Times New Roman" w:cs="Times New Roman" w:eastAsiaTheme="minorEastAsia"/>
          <w:b/>
          <w:color w:val="000000" w:themeColor="text1"/>
          <w:sz w:val="48"/>
          <w:szCs w:val="48"/>
          <w:highlight w:val="none"/>
          <w14:textFill>
            <w14:solidFill>
              <w14:schemeClr w14:val="tx1"/>
            </w14:solidFill>
          </w14:textFill>
        </w:rPr>
      </w:pPr>
      <w:r>
        <w:rPr>
          <w:rFonts w:ascii="Times New Roman" w:hAnsi="Times New Roman" w:cs="Times New Roman" w:eastAsiaTheme="minorEastAsia"/>
          <w:b/>
          <w:color w:val="000000" w:themeColor="text1"/>
          <w:sz w:val="48"/>
          <w:szCs w:val="48"/>
          <w:highlight w:val="none"/>
          <w14:textFill>
            <w14:solidFill>
              <w14:schemeClr w14:val="tx1"/>
            </w14:solidFill>
          </w14:textFill>
        </w:rPr>
        <w:t>验收报告</w:t>
      </w:r>
    </w:p>
    <w:p w14:paraId="4CBCCBAB">
      <w:pPr>
        <w:rPr>
          <w:rFonts w:ascii="Times New Roman" w:hAnsi="Times New Roman" w:eastAsiaTheme="minorEastAsia"/>
          <w:color w:val="000000" w:themeColor="text1"/>
          <w:highlight w:val="none"/>
          <w14:textFill>
            <w14:solidFill>
              <w14:schemeClr w14:val="tx1"/>
            </w14:solidFill>
          </w14:textFill>
        </w:rPr>
      </w:pPr>
    </w:p>
    <w:p w14:paraId="3691F977">
      <w:pPr>
        <w:rPr>
          <w:rFonts w:ascii="Times New Roman" w:hAnsi="Times New Roman" w:eastAsiaTheme="minorEastAsia"/>
          <w:color w:val="000000" w:themeColor="text1"/>
          <w:highlight w:val="none"/>
          <w14:textFill>
            <w14:solidFill>
              <w14:schemeClr w14:val="tx1"/>
            </w14:solidFill>
          </w14:textFill>
        </w:rPr>
      </w:pPr>
    </w:p>
    <w:p w14:paraId="32BD3F85">
      <w:pPr>
        <w:rPr>
          <w:rFonts w:ascii="Times New Roman" w:hAnsi="Times New Roman" w:eastAsiaTheme="minorEastAsia"/>
          <w:color w:val="000000" w:themeColor="text1"/>
          <w:highlight w:val="none"/>
          <w14:textFill>
            <w14:solidFill>
              <w14:schemeClr w14:val="tx1"/>
            </w14:solidFill>
          </w14:textFill>
        </w:rPr>
      </w:pPr>
    </w:p>
    <w:p w14:paraId="4A4CDE63">
      <w:pPr>
        <w:rPr>
          <w:rFonts w:ascii="Times New Roman" w:hAnsi="Times New Roman" w:eastAsiaTheme="minorEastAsia"/>
          <w:color w:val="000000" w:themeColor="text1"/>
          <w:highlight w:val="none"/>
          <w14:textFill>
            <w14:solidFill>
              <w14:schemeClr w14:val="tx1"/>
            </w14:solidFill>
          </w14:textFill>
        </w:rPr>
      </w:pPr>
    </w:p>
    <w:p w14:paraId="7B4C7946">
      <w:pPr>
        <w:rPr>
          <w:rFonts w:ascii="Times New Roman" w:hAnsi="Times New Roman" w:eastAsiaTheme="minorEastAsia"/>
          <w:color w:val="000000" w:themeColor="text1"/>
          <w:highlight w:val="none"/>
          <w14:textFill>
            <w14:solidFill>
              <w14:schemeClr w14:val="tx1"/>
            </w14:solidFill>
          </w14:textFill>
        </w:rPr>
      </w:pPr>
    </w:p>
    <w:p w14:paraId="408BEF35">
      <w:pPr>
        <w:rPr>
          <w:rFonts w:ascii="Times New Roman" w:hAnsi="Times New Roman" w:eastAsiaTheme="minorEastAsia"/>
          <w:color w:val="000000" w:themeColor="text1"/>
          <w:highlight w:val="none"/>
          <w14:textFill>
            <w14:solidFill>
              <w14:schemeClr w14:val="tx1"/>
            </w14:solidFill>
          </w14:textFill>
        </w:rPr>
      </w:pPr>
    </w:p>
    <w:p w14:paraId="5A0004C4">
      <w:pPr>
        <w:pStyle w:val="69"/>
        <w:rPr>
          <w:rFonts w:ascii="Times New Roman" w:hAnsi="Times New Roman" w:eastAsiaTheme="minorEastAsia"/>
          <w:color w:val="000000" w:themeColor="text1"/>
          <w:highlight w:val="none"/>
          <w14:textFill>
            <w14:solidFill>
              <w14:schemeClr w14:val="tx1"/>
            </w14:solidFill>
          </w14:textFill>
        </w:rPr>
      </w:pPr>
    </w:p>
    <w:p w14:paraId="0B3B1EC1">
      <w:pPr>
        <w:pStyle w:val="69"/>
        <w:rPr>
          <w:rFonts w:ascii="Times New Roman" w:hAnsi="Times New Roman" w:eastAsiaTheme="minorEastAsia"/>
          <w:color w:val="000000" w:themeColor="text1"/>
          <w:highlight w:val="none"/>
          <w14:textFill>
            <w14:solidFill>
              <w14:schemeClr w14:val="tx1"/>
            </w14:solidFill>
          </w14:textFill>
        </w:rPr>
      </w:pPr>
    </w:p>
    <w:p w14:paraId="529C4111">
      <w:pPr>
        <w:rPr>
          <w:rFonts w:ascii="Times New Roman" w:hAnsi="Times New Roman" w:eastAsiaTheme="minorEastAsia"/>
          <w:color w:val="000000" w:themeColor="text1"/>
          <w:highlight w:val="none"/>
          <w14:textFill>
            <w14:solidFill>
              <w14:schemeClr w14:val="tx1"/>
            </w14:solidFill>
          </w14:textFill>
        </w:rPr>
      </w:pPr>
    </w:p>
    <w:p w14:paraId="0FBBC578">
      <w:pPr>
        <w:rPr>
          <w:rFonts w:ascii="Times New Roman" w:hAnsi="Times New Roman" w:eastAsiaTheme="minorEastAsia"/>
          <w:color w:val="000000" w:themeColor="text1"/>
          <w:highlight w:val="none"/>
          <w14:textFill>
            <w14:solidFill>
              <w14:schemeClr w14:val="tx1"/>
            </w14:solidFill>
          </w14:textFill>
        </w:rPr>
      </w:pPr>
    </w:p>
    <w:p w14:paraId="7DCF7E53">
      <w:pPr>
        <w:rPr>
          <w:rFonts w:ascii="Times New Roman" w:hAnsi="Times New Roman" w:eastAsiaTheme="minorEastAsia"/>
          <w:color w:val="000000" w:themeColor="text1"/>
          <w:highlight w:val="none"/>
          <w14:textFill>
            <w14:solidFill>
              <w14:schemeClr w14:val="tx1"/>
            </w14:solidFill>
          </w14:textFill>
        </w:rPr>
      </w:pPr>
    </w:p>
    <w:p w14:paraId="2D2831BD">
      <w:pPr>
        <w:rPr>
          <w:rFonts w:ascii="Times New Roman" w:hAnsi="Times New Roman" w:eastAsiaTheme="minorEastAsia"/>
          <w:color w:val="000000" w:themeColor="text1"/>
          <w:highlight w:val="none"/>
          <w14:textFill>
            <w14:solidFill>
              <w14:schemeClr w14:val="tx1"/>
            </w14:solidFill>
          </w14:textFill>
        </w:rPr>
      </w:pPr>
    </w:p>
    <w:p w14:paraId="151FF0FB">
      <w:pPr>
        <w:rPr>
          <w:highlight w:val="none"/>
        </w:rPr>
      </w:pPr>
    </w:p>
    <w:p w14:paraId="34B97F34">
      <w:pPr>
        <w:rPr>
          <w:rFonts w:ascii="Times New Roman" w:hAnsi="Times New Roman" w:eastAsiaTheme="minorEastAsia"/>
          <w:color w:val="000000" w:themeColor="text1"/>
          <w:highlight w:val="none"/>
          <w14:textFill>
            <w14:solidFill>
              <w14:schemeClr w14:val="tx1"/>
            </w14:solidFill>
          </w14:textFill>
        </w:rPr>
      </w:pPr>
    </w:p>
    <w:p w14:paraId="05BC26AD">
      <w:pPr>
        <w:rPr>
          <w:rFonts w:ascii="Times New Roman" w:hAnsi="Times New Roman" w:eastAsiaTheme="minorEastAsia"/>
          <w:color w:val="000000" w:themeColor="text1"/>
          <w:highlight w:val="none"/>
          <w14:textFill>
            <w14:solidFill>
              <w14:schemeClr w14:val="tx1"/>
            </w14:solidFill>
          </w14:textFill>
        </w:rPr>
      </w:pPr>
    </w:p>
    <w:p w14:paraId="639CCAE2">
      <w:pPr>
        <w:rPr>
          <w:rFonts w:ascii="Times New Roman" w:hAnsi="Times New Roman" w:eastAsiaTheme="minorEastAsia"/>
          <w:color w:val="000000" w:themeColor="text1"/>
          <w:highlight w:val="none"/>
          <w14:textFill>
            <w14:solidFill>
              <w14:schemeClr w14:val="tx1"/>
            </w14:solidFill>
          </w14:textFill>
        </w:rPr>
      </w:pPr>
    </w:p>
    <w:p w14:paraId="60BA1D35">
      <w:pPr>
        <w:rPr>
          <w:rFonts w:ascii="Times New Roman" w:hAnsi="Times New Roman" w:eastAsiaTheme="minorEastAsia"/>
          <w:color w:val="000000" w:themeColor="text1"/>
          <w:highlight w:val="none"/>
          <w14:textFill>
            <w14:solidFill>
              <w14:schemeClr w14:val="tx1"/>
            </w14:solidFill>
          </w14:textFill>
        </w:rPr>
      </w:pPr>
    </w:p>
    <w:p w14:paraId="74A89AE1">
      <w:pPr>
        <w:rPr>
          <w:rFonts w:ascii="Times New Roman" w:hAnsi="Times New Roman" w:eastAsiaTheme="minorEastAsia"/>
          <w:color w:val="000000" w:themeColor="text1"/>
          <w:highlight w:val="none"/>
          <w14:textFill>
            <w14:solidFill>
              <w14:schemeClr w14:val="tx1"/>
            </w14:solidFill>
          </w14:textFill>
        </w:rPr>
      </w:pPr>
    </w:p>
    <w:p w14:paraId="5FC134EB">
      <w:pPr>
        <w:rPr>
          <w:rFonts w:ascii="Times New Roman" w:hAnsi="Times New Roman" w:eastAsiaTheme="minorEastAsia"/>
          <w:color w:val="000000" w:themeColor="text1"/>
          <w:highlight w:val="none"/>
          <w14:textFill>
            <w14:solidFill>
              <w14:schemeClr w14:val="tx1"/>
            </w14:solidFill>
          </w14:textFill>
        </w:rPr>
      </w:pPr>
    </w:p>
    <w:p w14:paraId="50A4F7E7">
      <w:pPr>
        <w:rPr>
          <w:rFonts w:ascii="Times New Roman" w:hAnsi="Times New Roman" w:eastAsiaTheme="minorEastAsia"/>
          <w:color w:val="000000" w:themeColor="text1"/>
          <w:highlight w:val="none"/>
          <w14:textFill>
            <w14:solidFill>
              <w14:schemeClr w14:val="tx1"/>
            </w14:solidFill>
          </w14:textFill>
        </w:rPr>
      </w:pPr>
    </w:p>
    <w:p w14:paraId="36ADFF2F">
      <w:pPr>
        <w:rPr>
          <w:rFonts w:ascii="Times New Roman" w:hAnsi="Times New Roman" w:eastAsiaTheme="minorEastAsia"/>
          <w:color w:val="000000" w:themeColor="text1"/>
          <w:highlight w:val="none"/>
          <w14:textFill>
            <w14:solidFill>
              <w14:schemeClr w14:val="tx1"/>
            </w14:solidFill>
          </w14:textFill>
        </w:rPr>
      </w:pPr>
    </w:p>
    <w:p w14:paraId="20BC194D">
      <w:pPr>
        <w:rPr>
          <w:rFonts w:ascii="Times New Roman" w:hAnsi="Times New Roman" w:eastAsiaTheme="minorEastAsia"/>
          <w:color w:val="000000" w:themeColor="text1"/>
          <w:highlight w:val="none"/>
          <w14:textFill>
            <w14:solidFill>
              <w14:schemeClr w14:val="tx1"/>
            </w14:solidFill>
          </w14:textFill>
        </w:rPr>
      </w:pPr>
    </w:p>
    <w:p w14:paraId="4F83A77D">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imes New Roman" w:hAnsi="Times New Roman" w:cs="Times New Roman" w:eastAsiaTheme="minorEastAsia"/>
          <w:b/>
          <w:color w:val="000000" w:themeColor="text1"/>
          <w:sz w:val="36"/>
          <w:szCs w:val="32"/>
          <w:highlight w:val="none"/>
          <w:lang w:val="en-US" w:eastAsia="zh-CN"/>
          <w14:textFill>
            <w14:solidFill>
              <w14:schemeClr w14:val="tx1"/>
            </w14:solidFill>
          </w14:textFill>
        </w:rPr>
      </w:pPr>
      <w:r>
        <w:rPr>
          <w:rFonts w:hint="eastAsia" w:ascii="Times New Roman" w:hAnsi="Times New Roman" w:cs="Times New Roman" w:eastAsiaTheme="minorEastAsia"/>
          <w:b/>
          <w:color w:val="000000" w:themeColor="text1"/>
          <w:sz w:val="36"/>
          <w:szCs w:val="32"/>
          <w:highlight w:val="none"/>
          <w:lang w:val="en-US" w:eastAsia="zh-CN"/>
          <w14:textFill>
            <w14:solidFill>
              <w14:schemeClr w14:val="tx1"/>
            </w14:solidFill>
          </w14:textFill>
        </w:rPr>
        <w:t>编制单位：</w:t>
      </w:r>
      <w:r>
        <w:rPr>
          <w:rFonts w:hint="eastAsia" w:ascii="Times New Roman" w:hAnsi="Times New Roman" w:cs="Times New Roman" w:eastAsiaTheme="minorEastAsia"/>
          <w:b/>
          <w:color w:val="000000" w:themeColor="text1"/>
          <w:sz w:val="36"/>
          <w:szCs w:val="32"/>
          <w:highlight w:val="none"/>
          <w:lang w:eastAsia="zh-CN"/>
          <w14:textFill>
            <w14:solidFill>
              <w14:schemeClr w14:val="tx1"/>
            </w14:solidFill>
          </w14:textFill>
        </w:rPr>
        <w:t>唐山市康泰科技有限公司</w:t>
      </w:r>
      <w:r>
        <w:rPr>
          <w:rFonts w:hint="eastAsia" w:ascii="Times New Roman" w:hAnsi="Times New Roman" w:cs="Times New Roman" w:eastAsiaTheme="minorEastAsia"/>
          <w:b/>
          <w:color w:val="000000" w:themeColor="text1"/>
          <w:sz w:val="36"/>
          <w:szCs w:val="32"/>
          <w:highlight w:val="none"/>
          <w:lang w:val="en-US" w:eastAsia="zh-CN"/>
          <w14:textFill>
            <w14:solidFill>
              <w14:schemeClr w14:val="tx1"/>
            </w14:solidFill>
          </w14:textFill>
        </w:rPr>
        <w:t xml:space="preserve"> </w:t>
      </w:r>
    </w:p>
    <w:p w14:paraId="08ED066B">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eastAsiaTheme="minorEastAsia"/>
          <w:b/>
          <w:color w:val="000000" w:themeColor="text1"/>
          <w:sz w:val="36"/>
          <w:szCs w:val="32"/>
          <w:highlight w:val="none"/>
          <w14:textFill>
            <w14:solidFill>
              <w14:schemeClr w14:val="tx1"/>
            </w14:solidFill>
          </w14:textFill>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ascii="Times New Roman" w:hAnsi="Times New Roman" w:eastAsiaTheme="minorEastAsia"/>
          <w:b/>
          <w:color w:val="000000" w:themeColor="text1"/>
          <w:sz w:val="36"/>
          <w:szCs w:val="32"/>
          <w:highlight w:val="none"/>
          <w14:textFill>
            <w14:solidFill>
              <w14:schemeClr w14:val="tx1"/>
            </w14:solidFill>
          </w14:textFill>
        </w:rPr>
        <w:t>编制时间：二</w:t>
      </w:r>
      <w:r>
        <w:rPr>
          <w:rFonts w:hint="eastAsia" w:ascii="Times New Roman" w:hAnsi="Times New Roman" w:eastAsiaTheme="minorEastAsia"/>
          <w:b/>
          <w:color w:val="000000" w:themeColor="text1"/>
          <w:sz w:val="36"/>
          <w:szCs w:val="32"/>
          <w:highlight w:val="none"/>
          <w14:textFill>
            <w14:solidFill>
              <w14:schemeClr w14:val="tx1"/>
            </w14:solidFill>
          </w14:textFill>
        </w:rPr>
        <w:t>〇</w:t>
      </w:r>
      <w:r>
        <w:rPr>
          <w:rFonts w:ascii="Times New Roman" w:hAnsi="Times New Roman" w:eastAsiaTheme="minorEastAsia"/>
          <w:b/>
          <w:color w:val="000000" w:themeColor="text1"/>
          <w:sz w:val="36"/>
          <w:szCs w:val="32"/>
          <w:highlight w:val="none"/>
          <w14:textFill>
            <w14:solidFill>
              <w14:schemeClr w14:val="tx1"/>
            </w14:solidFill>
          </w14:textFill>
        </w:rPr>
        <w:t>二</w:t>
      </w:r>
      <w:r>
        <w:rPr>
          <w:rFonts w:hint="eastAsia" w:ascii="Times New Roman" w:hAnsi="Times New Roman" w:eastAsiaTheme="minorEastAsia"/>
          <w:b/>
          <w:color w:val="000000" w:themeColor="text1"/>
          <w:sz w:val="36"/>
          <w:szCs w:val="32"/>
          <w:highlight w:val="none"/>
          <w:lang w:val="en-US" w:eastAsia="zh-CN"/>
          <w14:textFill>
            <w14:solidFill>
              <w14:schemeClr w14:val="tx1"/>
            </w14:solidFill>
          </w14:textFill>
        </w:rPr>
        <w:t>六</w:t>
      </w:r>
      <w:r>
        <w:rPr>
          <w:rFonts w:ascii="Times New Roman" w:hAnsi="Times New Roman" w:eastAsiaTheme="minorEastAsia"/>
          <w:b/>
          <w:color w:val="000000" w:themeColor="text1"/>
          <w:sz w:val="36"/>
          <w:szCs w:val="32"/>
          <w:highlight w:val="none"/>
          <w14:textFill>
            <w14:solidFill>
              <w14:schemeClr w14:val="tx1"/>
            </w14:solidFill>
          </w14:textFill>
        </w:rPr>
        <w:t>年</w:t>
      </w:r>
      <w:r>
        <w:rPr>
          <w:rFonts w:hint="eastAsia" w:ascii="Times New Roman" w:hAnsi="Times New Roman" w:eastAsiaTheme="minorEastAsia"/>
          <w:b/>
          <w:color w:val="000000" w:themeColor="text1"/>
          <w:sz w:val="36"/>
          <w:szCs w:val="32"/>
          <w:highlight w:val="none"/>
          <w:lang w:val="en-US" w:eastAsia="zh-CN"/>
          <w14:textFill>
            <w14:solidFill>
              <w14:schemeClr w14:val="tx1"/>
            </w14:solidFill>
          </w14:textFill>
        </w:rPr>
        <w:t>四</w:t>
      </w:r>
      <w:r>
        <w:rPr>
          <w:rFonts w:ascii="Times New Roman" w:hAnsi="Times New Roman" w:eastAsiaTheme="minorEastAsia"/>
          <w:b/>
          <w:color w:val="000000" w:themeColor="text1"/>
          <w:sz w:val="36"/>
          <w:szCs w:val="32"/>
          <w:highlight w:val="none"/>
          <w14:textFill>
            <w14:solidFill>
              <w14:schemeClr w14:val="tx1"/>
            </w14:solidFill>
          </w14:textFill>
        </w:rPr>
        <w:t>月</w:t>
      </w:r>
    </w:p>
    <w:p w14:paraId="1340B569">
      <w:pPr>
        <w:pStyle w:val="15"/>
        <w:rPr>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bookmarkEnd w:id="0"/>
    <w:p w14:paraId="74C0A709">
      <w:pPr>
        <w:jc w:val="left"/>
        <w:rPr>
          <w:rFonts w:hint="eastAsia" w:ascii="Times New Roman" w:hAnsi="Times New Roman" w:cs="Times New Roman" w:eastAsiaTheme="minorEastAsia"/>
          <w:color w:val="auto"/>
          <w:sz w:val="28"/>
          <w:szCs w:val="28"/>
          <w:highlight w:val="none"/>
          <w:lang w:val="en-US" w:eastAsia="zh-CN"/>
        </w:rPr>
      </w:pPr>
      <w:r>
        <w:rPr>
          <w:rFonts w:hint="eastAsia" w:ascii="Times New Roman" w:hAnsi="Times New Roman" w:cs="Times New Roman" w:eastAsiaTheme="minorEastAsia"/>
          <w:color w:val="auto"/>
          <w:sz w:val="28"/>
          <w:szCs w:val="28"/>
          <w:highlight w:val="none"/>
          <w:lang w:val="en-US" w:eastAsia="zh-CN"/>
        </w:rPr>
        <w:t>建设单位：唐山市康泰科技有限公司</w:t>
      </w:r>
    </w:p>
    <w:p w14:paraId="698652FA">
      <w:pPr>
        <w:jc w:val="left"/>
        <w:rPr>
          <w:rFonts w:hint="default" w:ascii="Times New Roman" w:hAnsi="Times New Roman" w:cs="Times New Roman" w:eastAsiaTheme="minorEastAsia"/>
          <w:color w:val="auto"/>
          <w:sz w:val="28"/>
          <w:szCs w:val="28"/>
          <w:highlight w:val="none"/>
          <w:lang w:val="en-US" w:eastAsia="zh-CN"/>
        </w:rPr>
      </w:pPr>
      <w:r>
        <w:rPr>
          <w:rFonts w:hint="eastAsia" w:ascii="Times New Roman" w:hAnsi="Times New Roman" w:cs="Times New Roman" w:eastAsiaTheme="minorEastAsia"/>
          <w:color w:val="auto"/>
          <w:sz w:val="28"/>
          <w:szCs w:val="28"/>
          <w:highlight w:val="none"/>
          <w:lang w:val="en-US" w:eastAsia="zh-CN"/>
        </w:rPr>
        <w:t xml:space="preserve">法定代表人：冯建伟 </w:t>
      </w:r>
    </w:p>
    <w:p w14:paraId="2DB10AC9">
      <w:pPr>
        <w:jc w:val="left"/>
        <w:rPr>
          <w:rFonts w:hint="eastAsia" w:ascii="Times New Roman" w:hAnsi="Times New Roman" w:eastAsiaTheme="minorEastAsia"/>
          <w:color w:val="auto"/>
          <w:sz w:val="28"/>
          <w:szCs w:val="28"/>
          <w:highlight w:val="none"/>
          <w:lang w:eastAsia="zh-CN"/>
        </w:rPr>
      </w:pPr>
      <w:r>
        <w:rPr>
          <w:rFonts w:ascii="Times New Roman" w:hAnsi="Times New Roman" w:eastAsiaTheme="minorEastAsia"/>
          <w:color w:val="auto"/>
          <w:sz w:val="28"/>
          <w:szCs w:val="28"/>
          <w:highlight w:val="none"/>
        </w:rPr>
        <w:t>项目</w:t>
      </w:r>
      <w:r>
        <w:rPr>
          <w:rFonts w:ascii="Times New Roman" w:hAnsi="Times New Roman" w:cs="Times New Roman" w:eastAsiaTheme="minorEastAsia"/>
          <w:color w:val="auto"/>
          <w:sz w:val="28"/>
          <w:szCs w:val="28"/>
          <w:highlight w:val="none"/>
        </w:rPr>
        <w:t>负责人：</w:t>
      </w:r>
      <w:r>
        <w:rPr>
          <w:rFonts w:hint="eastAsia" w:ascii="Times New Roman" w:hAnsi="Times New Roman" w:cs="Times New Roman" w:eastAsiaTheme="minorEastAsia"/>
          <w:color w:val="auto"/>
          <w:sz w:val="28"/>
          <w:szCs w:val="28"/>
          <w:highlight w:val="none"/>
          <w:lang w:val="en-US" w:eastAsia="zh-CN"/>
        </w:rPr>
        <w:t>冯建伟</w:t>
      </w:r>
    </w:p>
    <w:p w14:paraId="62DC0EB7">
      <w:pPr>
        <w:jc w:val="left"/>
        <w:rPr>
          <w:rFonts w:ascii="Times New Roman" w:hAnsi="Times New Roman" w:eastAsiaTheme="minorEastAsia"/>
          <w:color w:val="auto"/>
          <w:sz w:val="28"/>
          <w:szCs w:val="28"/>
          <w:highlight w:val="none"/>
        </w:rPr>
      </w:pPr>
    </w:p>
    <w:p w14:paraId="27EF8F2D">
      <w:pPr>
        <w:jc w:val="left"/>
        <w:rPr>
          <w:rFonts w:ascii="Times New Roman" w:hAnsi="Times New Roman" w:eastAsiaTheme="minorEastAsia"/>
          <w:color w:val="auto"/>
          <w:sz w:val="28"/>
          <w:szCs w:val="28"/>
          <w:highlight w:val="none"/>
        </w:rPr>
      </w:pPr>
    </w:p>
    <w:p w14:paraId="45BFCE24">
      <w:pPr>
        <w:jc w:val="left"/>
        <w:rPr>
          <w:rFonts w:ascii="Times New Roman" w:hAnsi="Times New Roman" w:eastAsiaTheme="minorEastAsia"/>
          <w:color w:val="auto"/>
          <w:sz w:val="28"/>
          <w:szCs w:val="28"/>
          <w:highlight w:val="none"/>
        </w:rPr>
      </w:pPr>
    </w:p>
    <w:p w14:paraId="382C449E">
      <w:pPr>
        <w:jc w:val="left"/>
        <w:rPr>
          <w:rFonts w:ascii="Times New Roman" w:hAnsi="Times New Roman" w:eastAsiaTheme="minorEastAsia"/>
          <w:color w:val="auto"/>
          <w:sz w:val="28"/>
          <w:szCs w:val="28"/>
          <w:highlight w:val="none"/>
        </w:rPr>
      </w:pPr>
    </w:p>
    <w:p w14:paraId="062B7933">
      <w:pPr>
        <w:jc w:val="left"/>
        <w:rPr>
          <w:rFonts w:ascii="Times New Roman" w:hAnsi="Times New Roman" w:eastAsiaTheme="minorEastAsia"/>
          <w:color w:val="auto"/>
          <w:sz w:val="28"/>
          <w:szCs w:val="28"/>
          <w:highlight w:val="none"/>
        </w:rPr>
      </w:pPr>
    </w:p>
    <w:p w14:paraId="46B110D2">
      <w:pPr>
        <w:jc w:val="left"/>
        <w:rPr>
          <w:rFonts w:ascii="Times New Roman" w:hAnsi="Times New Roman" w:eastAsiaTheme="minorEastAsia"/>
          <w:color w:val="auto"/>
          <w:sz w:val="28"/>
          <w:szCs w:val="28"/>
          <w:highlight w:val="none"/>
        </w:rPr>
      </w:pPr>
    </w:p>
    <w:p w14:paraId="0680A217">
      <w:pPr>
        <w:jc w:val="left"/>
        <w:rPr>
          <w:rFonts w:ascii="Times New Roman" w:hAnsi="Times New Roman" w:eastAsiaTheme="minorEastAsia"/>
          <w:color w:val="auto"/>
          <w:sz w:val="28"/>
          <w:szCs w:val="28"/>
          <w:highlight w:val="none"/>
        </w:rPr>
      </w:pPr>
    </w:p>
    <w:p w14:paraId="45CACCF4">
      <w:pPr>
        <w:pStyle w:val="9"/>
        <w:rPr>
          <w:color w:val="auto"/>
          <w:sz w:val="20"/>
          <w:szCs w:val="21"/>
          <w:highlight w:val="none"/>
        </w:rPr>
      </w:pPr>
    </w:p>
    <w:p w14:paraId="3A2D0224">
      <w:pPr>
        <w:pStyle w:val="9"/>
        <w:rPr>
          <w:color w:val="auto"/>
          <w:sz w:val="20"/>
          <w:szCs w:val="21"/>
          <w:highlight w:val="none"/>
        </w:rPr>
      </w:pPr>
    </w:p>
    <w:p w14:paraId="0F35CF60">
      <w:pPr>
        <w:pStyle w:val="9"/>
        <w:rPr>
          <w:color w:val="auto"/>
          <w:sz w:val="20"/>
          <w:szCs w:val="21"/>
          <w:highlight w:val="none"/>
        </w:rPr>
      </w:pPr>
    </w:p>
    <w:p w14:paraId="3B531437">
      <w:pPr>
        <w:pStyle w:val="9"/>
        <w:rPr>
          <w:color w:val="auto"/>
          <w:sz w:val="20"/>
          <w:szCs w:val="21"/>
          <w:highlight w:val="none"/>
        </w:rPr>
      </w:pPr>
    </w:p>
    <w:p w14:paraId="489AECE9">
      <w:pPr>
        <w:pStyle w:val="9"/>
        <w:rPr>
          <w:color w:val="auto"/>
          <w:sz w:val="20"/>
          <w:szCs w:val="21"/>
          <w:highlight w:val="none"/>
        </w:rPr>
      </w:pPr>
    </w:p>
    <w:p w14:paraId="15CAA50E">
      <w:pPr>
        <w:pStyle w:val="9"/>
        <w:rPr>
          <w:color w:val="auto"/>
          <w:sz w:val="20"/>
          <w:szCs w:val="21"/>
          <w:highlight w:val="none"/>
        </w:rPr>
      </w:pPr>
    </w:p>
    <w:p w14:paraId="0756F65E">
      <w:pPr>
        <w:pStyle w:val="9"/>
        <w:rPr>
          <w:color w:val="auto"/>
          <w:sz w:val="20"/>
          <w:szCs w:val="21"/>
          <w:highlight w:val="none"/>
        </w:rPr>
      </w:pPr>
    </w:p>
    <w:p w14:paraId="6EABAE16">
      <w:pPr>
        <w:pStyle w:val="9"/>
        <w:rPr>
          <w:color w:val="auto"/>
          <w:sz w:val="20"/>
          <w:szCs w:val="21"/>
          <w:highlight w:val="none"/>
        </w:rPr>
      </w:pPr>
    </w:p>
    <w:p w14:paraId="7D390CF7">
      <w:pPr>
        <w:pStyle w:val="9"/>
        <w:rPr>
          <w:color w:val="auto"/>
          <w:sz w:val="20"/>
          <w:szCs w:val="21"/>
          <w:highlight w:val="none"/>
        </w:rPr>
      </w:pPr>
    </w:p>
    <w:p w14:paraId="2DB10139">
      <w:pPr>
        <w:pStyle w:val="9"/>
        <w:rPr>
          <w:color w:val="auto"/>
          <w:sz w:val="20"/>
          <w:szCs w:val="21"/>
          <w:highlight w:val="none"/>
        </w:rPr>
      </w:pPr>
    </w:p>
    <w:p w14:paraId="24088D60">
      <w:pPr>
        <w:pStyle w:val="9"/>
        <w:ind w:left="0" w:leftChars="0" w:firstLine="0" w:firstLineChars="0"/>
        <w:rPr>
          <w:color w:val="auto"/>
          <w:sz w:val="20"/>
          <w:szCs w:val="21"/>
          <w:highlight w:val="none"/>
        </w:rPr>
      </w:pPr>
    </w:p>
    <w:p w14:paraId="47D02CF0">
      <w:pPr>
        <w:pStyle w:val="9"/>
        <w:rPr>
          <w:color w:val="auto"/>
          <w:sz w:val="20"/>
          <w:szCs w:val="21"/>
          <w:highlight w:val="none"/>
        </w:rPr>
      </w:pPr>
    </w:p>
    <w:p w14:paraId="54DCE9D0">
      <w:pPr>
        <w:jc w:val="left"/>
        <w:rPr>
          <w:rFonts w:hint="default" w:ascii="Times New Roman" w:hAnsi="Times New Roman" w:cs="Times New Roman" w:eastAsiaTheme="minorEastAsia"/>
          <w:color w:val="auto"/>
          <w:sz w:val="28"/>
          <w:szCs w:val="28"/>
          <w:highlight w:val="none"/>
          <w:lang w:val="en-US" w:eastAsia="zh-CN"/>
        </w:rPr>
      </w:pPr>
      <w:r>
        <w:rPr>
          <w:rFonts w:hint="eastAsia" w:ascii="Times New Roman" w:hAnsi="Times New Roman" w:cs="Times New Roman" w:eastAsiaTheme="minorEastAsia"/>
          <w:color w:val="auto"/>
          <w:sz w:val="28"/>
          <w:szCs w:val="28"/>
          <w:highlight w:val="none"/>
          <w:lang w:val="en-US" w:eastAsia="zh-CN"/>
        </w:rPr>
        <w:t>电话：18103156685</w:t>
      </w:r>
    </w:p>
    <w:p w14:paraId="4166158B">
      <w:pPr>
        <w:jc w:val="left"/>
        <w:rPr>
          <w:rFonts w:hint="eastAsia" w:ascii="Times New Roman" w:hAnsi="Times New Roman" w:eastAsiaTheme="minorEastAsia"/>
          <w:color w:val="auto"/>
          <w:sz w:val="28"/>
          <w:szCs w:val="28"/>
          <w:highlight w:val="none"/>
          <w:lang w:eastAsia="zh-CN"/>
        </w:rPr>
      </w:pPr>
      <w:r>
        <w:rPr>
          <w:rFonts w:ascii="Times New Roman" w:hAnsi="Times New Roman" w:eastAsiaTheme="minorEastAsia"/>
          <w:color w:val="auto"/>
          <w:sz w:val="28"/>
          <w:szCs w:val="28"/>
          <w:highlight w:val="none"/>
        </w:rPr>
        <w:t>传真：</w:t>
      </w:r>
      <w:r>
        <w:rPr>
          <w:rFonts w:hint="eastAsia" w:ascii="Times New Roman" w:hAnsi="Times New Roman" w:eastAsiaTheme="minorEastAsia"/>
          <w:color w:val="auto"/>
          <w:sz w:val="28"/>
          <w:szCs w:val="28"/>
          <w:highlight w:val="none"/>
          <w:lang w:val="en-US" w:eastAsia="zh-CN"/>
        </w:rPr>
        <w:t>/</w:t>
      </w:r>
    </w:p>
    <w:p w14:paraId="19BA3695">
      <w:pPr>
        <w:jc w:val="left"/>
        <w:rPr>
          <w:rFonts w:hint="default" w:ascii="Times New Roman" w:hAnsi="Times New Roman" w:eastAsiaTheme="minorEastAsia"/>
          <w:color w:val="auto"/>
          <w:sz w:val="28"/>
          <w:szCs w:val="28"/>
          <w:highlight w:val="none"/>
          <w:lang w:val="en-US" w:eastAsia="zh-CN"/>
        </w:rPr>
      </w:pPr>
      <w:r>
        <w:rPr>
          <w:rFonts w:ascii="Times New Roman" w:hAnsi="Times New Roman" w:eastAsiaTheme="minorEastAsia"/>
          <w:color w:val="auto"/>
          <w:sz w:val="28"/>
          <w:szCs w:val="28"/>
          <w:highlight w:val="none"/>
        </w:rPr>
        <w:t>邮编：</w:t>
      </w:r>
      <w:r>
        <w:rPr>
          <w:rFonts w:hint="eastAsia" w:ascii="Times New Roman" w:hAnsi="Times New Roman" w:eastAsiaTheme="minorEastAsia"/>
          <w:color w:val="auto"/>
          <w:sz w:val="28"/>
          <w:szCs w:val="28"/>
          <w:highlight w:val="none"/>
          <w:lang w:val="en-US" w:eastAsia="zh-CN"/>
        </w:rPr>
        <w:t>064100</w:t>
      </w:r>
    </w:p>
    <w:p w14:paraId="1799EB80">
      <w:pPr>
        <w:jc w:val="left"/>
        <w:rPr>
          <w:rFonts w:hint="eastAsia" w:ascii="Times New Roman" w:hAnsi="Times New Roman" w:cs="Times New Roman" w:eastAsiaTheme="minorEastAsia"/>
          <w:color w:val="auto"/>
          <w:sz w:val="28"/>
          <w:szCs w:val="28"/>
          <w:highlight w:val="none"/>
          <w:lang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ascii="Times New Roman" w:hAnsi="Times New Roman" w:cs="Times New Roman" w:eastAsiaTheme="minorEastAsia"/>
          <w:color w:val="auto"/>
          <w:sz w:val="28"/>
          <w:szCs w:val="28"/>
          <w:highlight w:val="none"/>
        </w:rPr>
        <w:t>地址：</w:t>
      </w:r>
      <w:r>
        <w:rPr>
          <w:rFonts w:hint="eastAsia" w:ascii="Times New Roman" w:hAnsi="Times New Roman" w:cs="Times New Roman" w:eastAsiaTheme="minorEastAsia"/>
          <w:color w:val="auto"/>
          <w:sz w:val="28"/>
          <w:szCs w:val="28"/>
          <w:highlight w:val="none"/>
        </w:rPr>
        <w:t>河北玉田经济开发区鸦鸿桥产业园（孙各庄村）</w:t>
      </w:r>
    </w:p>
    <w:p w14:paraId="60524C71">
      <w:pPr>
        <w:pStyle w:val="15"/>
        <w:rPr>
          <w:rFonts w:hint="eastAsia"/>
          <w:highlight w:val="none"/>
          <w:lang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3C0B608E">
      <w:pPr>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pPr>
      <w:r>
        <w:rPr>
          <w:rFonts w:hint="eastAsia" w:ascii="Times New Roman" w:hAnsi="Times New Roman" w:eastAsiaTheme="minorEastAsia"/>
          <w:b/>
          <w:bCs/>
          <w:color w:val="000000" w:themeColor="text1"/>
          <w:sz w:val="24"/>
          <w:szCs w:val="24"/>
          <w:highlight w:val="none"/>
          <w:lang w:val="en-US" w:eastAsia="zh-CN"/>
          <w14:textFill>
            <w14:solidFill>
              <w14:schemeClr w14:val="tx1"/>
            </w14:solidFill>
          </w14:textFill>
        </w:rPr>
        <w:t>附图</w:t>
      </w:r>
    </w:p>
    <w:p w14:paraId="36F31764">
      <w:pPr>
        <w:pageBreakBefore w:val="0"/>
        <w:widowControl w:val="0"/>
        <w:kinsoku/>
        <w:wordWrap/>
        <w:overflowPunct/>
        <w:topLinePunct w:val="0"/>
        <w:autoSpaceDE/>
        <w:autoSpaceDN/>
        <w:bidi w:val="0"/>
        <w:adjustRightInd/>
        <w:snapToGrid/>
        <w:spacing w:line="360" w:lineRule="auto"/>
        <w:jc w:val="left"/>
        <w:textAlignment w:val="auto"/>
        <w:rPr>
          <w:rFonts w:ascii="Times New Roman" w:hAnsi="Times New Roman" w:eastAsiaTheme="minorEastAsia"/>
          <w:color w:val="000000" w:themeColor="text1"/>
          <w:sz w:val="24"/>
          <w:szCs w:val="24"/>
          <w:highlight w:val="none"/>
          <w14:textFill>
            <w14:solidFill>
              <w14:schemeClr w14:val="tx1"/>
            </w14:solidFill>
          </w14:textFill>
        </w:rPr>
      </w:pPr>
      <w:r>
        <w:rPr>
          <w:rFonts w:ascii="Times New Roman" w:hAnsi="Times New Roman" w:eastAsiaTheme="minorEastAsia"/>
          <w:color w:val="000000" w:themeColor="text1"/>
          <w:sz w:val="24"/>
          <w:szCs w:val="24"/>
          <w:highlight w:val="none"/>
          <w14:textFill>
            <w14:solidFill>
              <w14:schemeClr w14:val="tx1"/>
            </w14:solidFill>
          </w14:textFill>
        </w:rPr>
        <w:t>附图1项目地理位置图</w:t>
      </w:r>
    </w:p>
    <w:p w14:paraId="16BF37AC">
      <w:pPr>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eastAsiaTheme="minorEastAsia"/>
          <w:color w:val="000000" w:themeColor="text1"/>
          <w:sz w:val="24"/>
          <w:szCs w:val="24"/>
          <w:highlight w:val="none"/>
          <w:lang w:eastAsia="zh-CN"/>
          <w14:textFill>
            <w14:solidFill>
              <w14:schemeClr w14:val="tx1"/>
            </w14:solidFill>
          </w14:textFill>
        </w:rPr>
      </w:pPr>
      <w:r>
        <w:rPr>
          <w:rFonts w:ascii="Times New Roman" w:hAnsi="Times New Roman" w:eastAsiaTheme="minorEastAsia"/>
          <w:color w:val="000000" w:themeColor="text1"/>
          <w:sz w:val="24"/>
          <w:szCs w:val="24"/>
          <w:highlight w:val="none"/>
          <w14:textFill>
            <w14:solidFill>
              <w14:schemeClr w14:val="tx1"/>
            </w14:solidFill>
          </w14:textFill>
        </w:rPr>
        <w:t>附图2</w:t>
      </w: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平面布置及</w:t>
      </w:r>
      <w:r>
        <w:rPr>
          <w:rFonts w:hint="eastAsia" w:ascii="Times New Roman" w:hAnsi="Times New Roman" w:eastAsiaTheme="minorEastAsia"/>
          <w:color w:val="000000" w:themeColor="text1"/>
          <w:sz w:val="24"/>
          <w:szCs w:val="24"/>
          <w:highlight w:val="none"/>
          <w14:textFill>
            <w14:solidFill>
              <w14:schemeClr w14:val="tx1"/>
            </w14:solidFill>
          </w14:textFill>
        </w:rPr>
        <w:t>周边</w:t>
      </w: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关系</w:t>
      </w:r>
      <w:r>
        <w:rPr>
          <w:rFonts w:ascii="Times New Roman" w:hAnsi="Times New Roman" w:eastAsiaTheme="minorEastAsia"/>
          <w:color w:val="000000" w:themeColor="text1"/>
          <w:sz w:val="24"/>
          <w:szCs w:val="24"/>
          <w:highlight w:val="none"/>
          <w14:textFill>
            <w14:solidFill>
              <w14:schemeClr w14:val="tx1"/>
            </w14:solidFill>
          </w14:textFill>
        </w:rPr>
        <w:t>图</w:t>
      </w:r>
    </w:p>
    <w:p w14:paraId="2400A92E">
      <w:pPr>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eastAsiaTheme="minorEastAsia"/>
          <w:b/>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Theme="minorEastAsia"/>
          <w:b/>
          <w:bCs/>
          <w:color w:val="000000" w:themeColor="text1"/>
          <w:sz w:val="24"/>
          <w:szCs w:val="24"/>
          <w:highlight w:val="none"/>
          <w:lang w:val="en-US" w:eastAsia="zh-CN"/>
          <w14:textFill>
            <w14:solidFill>
              <w14:schemeClr w14:val="tx1"/>
            </w14:solidFill>
          </w14:textFill>
        </w:rPr>
        <w:t>附件</w:t>
      </w:r>
    </w:p>
    <w:p w14:paraId="2B29D71C">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附件1营业执照</w:t>
      </w:r>
    </w:p>
    <w:p w14:paraId="0F76C339">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附件2 审批意见</w:t>
      </w:r>
    </w:p>
    <w:p w14:paraId="5E6F1419">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附件3</w:t>
      </w:r>
      <w:r>
        <w:rPr>
          <w:rFonts w:hint="default"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唐山一方检测技术有限公司，</w:t>
      </w:r>
      <w:r>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《唐山市康泰科技有限公司验收检测报告》（YFJC-2026-26145-03117，2026年04月16日）</w:t>
      </w:r>
    </w:p>
    <w:p w14:paraId="203CB017">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附件4非重大变动论专家论证咨询意见</w:t>
      </w:r>
    </w:p>
    <w:p w14:paraId="020C4B15">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附件5竣工公示</w:t>
      </w:r>
    </w:p>
    <w:p w14:paraId="043CC2FA">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附件6调试期公示</w:t>
      </w:r>
    </w:p>
    <w:p w14:paraId="7195F55D">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附件7验收意见</w:t>
      </w:r>
    </w:p>
    <w:p w14:paraId="2E4696FB">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eastAsiaTheme="minorEastAsia"/>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附件8验收公示</w:t>
      </w:r>
    </w:p>
    <w:p w14:paraId="591384E6">
      <w:pPr>
        <w:pStyle w:val="15"/>
        <w:ind w:left="0" w:leftChars="0" w:firstLine="0" w:firstLineChars="0"/>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pPr>
    </w:p>
    <w:p w14:paraId="463F769F">
      <w:pPr>
        <w:pStyle w:val="15"/>
        <w:ind w:left="0" w:leftChars="0" w:firstLine="0" w:firstLineChars="0"/>
        <w:rPr>
          <w:rFonts w:hint="default" w:ascii="Times New Roman" w:hAnsi="Times New Roman" w:eastAsiaTheme="minorEastAsia"/>
          <w:color w:val="000000" w:themeColor="text1"/>
          <w:sz w:val="24"/>
          <w:szCs w:val="24"/>
          <w:highlight w:val="none"/>
          <w:lang w:val="en-US" w:eastAsia="zh-CN"/>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1B1945CF">
      <w:pPr>
        <w:pStyle w:val="28"/>
        <w:tabs>
          <w:tab w:val="right" w:leader="dot" w:pos="8306"/>
        </w:tabs>
        <w:jc w:val="center"/>
        <w:rPr>
          <w:rFonts w:hint="default" w:ascii="Times New Roman" w:hAnsi="Times New Roman" w:eastAsia="宋体" w:cs="Times New Roman"/>
          <w:sz w:val="32"/>
          <w:szCs w:val="32"/>
          <w:highlight w:val="none"/>
          <w:lang w:val="en-US" w:eastAsia="zh-CN"/>
        </w:rPr>
      </w:pPr>
      <w:r>
        <w:rPr>
          <w:rFonts w:hint="eastAsia" w:ascii="Times New Roman" w:hAnsi="Times New Roman" w:eastAsia="宋体" w:cs="Times New Roman"/>
          <w:sz w:val="30"/>
          <w:szCs w:val="30"/>
          <w:highlight w:val="none"/>
          <w:lang w:val="en-US" w:eastAsia="zh-CN"/>
        </w:rPr>
        <w:t>目录</w:t>
      </w:r>
    </w:p>
    <w:p w14:paraId="4F84C47C">
      <w:pPr>
        <w:pStyle w:val="28"/>
        <w:tabs>
          <w:tab w:val="right" w:leader="dot" w:pos="8306"/>
        </w:tabs>
        <w:rPr>
          <w:highlight w:val="none"/>
        </w:rPr>
      </w:pPr>
      <w:r>
        <w:rPr>
          <w:rFonts w:hint="eastAsia" w:ascii="Times New Roman" w:hAnsi="Times New Roman" w:eastAsia="宋体" w:cs="Times New Roman"/>
          <w:sz w:val="24"/>
          <w:szCs w:val="24"/>
          <w:highlight w:val="none"/>
          <w:lang w:val="en-US" w:eastAsia="zh-CN"/>
        </w:rPr>
        <w:fldChar w:fldCharType="begin"/>
      </w:r>
      <w:r>
        <w:rPr>
          <w:rFonts w:hint="eastAsia" w:ascii="Times New Roman" w:hAnsi="Times New Roman" w:eastAsia="宋体" w:cs="Times New Roman"/>
          <w:sz w:val="24"/>
          <w:szCs w:val="24"/>
          <w:highlight w:val="none"/>
          <w:lang w:val="en-US" w:eastAsia="zh-CN"/>
        </w:rPr>
        <w:instrText xml:space="preserve">TOC \o "1-2" \h \u </w:instrText>
      </w:r>
      <w:r>
        <w:rPr>
          <w:rFonts w:hint="eastAsia" w:ascii="Times New Roman" w:hAnsi="Times New Roman" w:eastAsia="宋体" w:cs="Times New Roman"/>
          <w:sz w:val="24"/>
          <w:szCs w:val="24"/>
          <w:highlight w:val="none"/>
          <w:lang w:val="en-US" w:eastAsia="zh-CN"/>
        </w:rPr>
        <w:fldChar w:fldCharType="separate"/>
      </w: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_Toc13713 </w:instrText>
      </w:r>
      <w:r>
        <w:rPr>
          <w:rFonts w:hint="eastAsia" w:ascii="Times New Roman" w:hAnsi="Times New Roman" w:eastAsia="宋体" w:cs="Times New Roman"/>
          <w:szCs w:val="24"/>
          <w:highlight w:val="none"/>
          <w:lang w:val="en-US" w:eastAsia="zh-CN"/>
        </w:rPr>
        <w:fldChar w:fldCharType="separate"/>
      </w:r>
      <w:r>
        <w:rPr>
          <w:highlight w:val="none"/>
        </w:rPr>
        <w:t>1</w:t>
      </w:r>
      <w:r>
        <w:rPr>
          <w:rFonts w:hint="eastAsia"/>
          <w:highlight w:val="none"/>
        </w:rPr>
        <w:t>项目概况</w:t>
      </w:r>
      <w:r>
        <w:rPr>
          <w:highlight w:val="none"/>
        </w:rPr>
        <w:tab/>
      </w:r>
      <w:r>
        <w:rPr>
          <w:highlight w:val="none"/>
        </w:rPr>
        <w:fldChar w:fldCharType="begin"/>
      </w:r>
      <w:r>
        <w:rPr>
          <w:highlight w:val="none"/>
        </w:rPr>
        <w:instrText xml:space="preserve"> PAGEREF _Toc13713 \h </w:instrText>
      </w:r>
      <w:r>
        <w:rPr>
          <w:highlight w:val="none"/>
        </w:rPr>
        <w:fldChar w:fldCharType="separate"/>
      </w:r>
      <w:r>
        <w:rPr>
          <w:highlight w:val="none"/>
        </w:rPr>
        <w:t>1</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15E31202">
      <w:pPr>
        <w:pStyle w:val="28"/>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_Toc3138 </w:instrText>
      </w:r>
      <w:r>
        <w:rPr>
          <w:rFonts w:hint="eastAsia" w:ascii="Times New Roman" w:hAnsi="Times New Roman" w:eastAsia="宋体" w:cs="Times New Roman"/>
          <w:szCs w:val="24"/>
          <w:highlight w:val="none"/>
          <w:lang w:val="en-US" w:eastAsia="zh-CN"/>
        </w:rPr>
        <w:fldChar w:fldCharType="separate"/>
      </w:r>
      <w:r>
        <w:rPr>
          <w:highlight w:val="none"/>
        </w:rPr>
        <w:t>2验收依据</w:t>
      </w:r>
      <w:r>
        <w:rPr>
          <w:highlight w:val="none"/>
        </w:rPr>
        <w:tab/>
      </w:r>
      <w:r>
        <w:rPr>
          <w:highlight w:val="none"/>
        </w:rPr>
        <w:fldChar w:fldCharType="begin"/>
      </w:r>
      <w:r>
        <w:rPr>
          <w:highlight w:val="none"/>
        </w:rPr>
        <w:instrText xml:space="preserve"> PAGEREF _Toc3138 \h </w:instrText>
      </w:r>
      <w:r>
        <w:rPr>
          <w:highlight w:val="none"/>
        </w:rPr>
        <w:fldChar w:fldCharType="separate"/>
      </w:r>
      <w:r>
        <w:rPr>
          <w:highlight w:val="none"/>
        </w:rPr>
        <w:t>3</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3B2F6A00">
      <w:pPr>
        <w:pStyle w:val="29"/>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_Toc4440 </w:instrText>
      </w:r>
      <w:r>
        <w:rPr>
          <w:rFonts w:hint="eastAsia" w:ascii="Times New Roman" w:hAnsi="Times New Roman" w:eastAsia="宋体" w:cs="Times New Roman"/>
          <w:szCs w:val="24"/>
          <w:highlight w:val="none"/>
          <w:lang w:val="en-US" w:eastAsia="zh-CN"/>
        </w:rPr>
        <w:fldChar w:fldCharType="separate"/>
      </w:r>
      <w:r>
        <w:rPr>
          <w:rFonts w:cs="Times New Roman"/>
          <w:highlight w:val="none"/>
        </w:rPr>
        <w:t>2.1建设项目环境保护相关法律、法规和规章制度</w:t>
      </w:r>
      <w:r>
        <w:rPr>
          <w:highlight w:val="none"/>
        </w:rPr>
        <w:tab/>
      </w:r>
      <w:r>
        <w:rPr>
          <w:highlight w:val="none"/>
        </w:rPr>
        <w:fldChar w:fldCharType="begin"/>
      </w:r>
      <w:r>
        <w:rPr>
          <w:highlight w:val="none"/>
        </w:rPr>
        <w:instrText xml:space="preserve"> PAGEREF _Toc4440 \h </w:instrText>
      </w:r>
      <w:r>
        <w:rPr>
          <w:highlight w:val="none"/>
        </w:rPr>
        <w:fldChar w:fldCharType="separate"/>
      </w:r>
      <w:r>
        <w:rPr>
          <w:highlight w:val="none"/>
        </w:rPr>
        <w:t>3</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2F57CE57">
      <w:pPr>
        <w:pStyle w:val="29"/>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_Toc6407 </w:instrText>
      </w:r>
      <w:r>
        <w:rPr>
          <w:rFonts w:hint="eastAsia" w:ascii="Times New Roman" w:hAnsi="Times New Roman" w:eastAsia="宋体" w:cs="Times New Roman"/>
          <w:szCs w:val="24"/>
          <w:highlight w:val="none"/>
          <w:lang w:val="en-US" w:eastAsia="zh-CN"/>
        </w:rPr>
        <w:fldChar w:fldCharType="separate"/>
      </w:r>
      <w:r>
        <w:rPr>
          <w:rFonts w:cs="Times New Roman"/>
          <w:highlight w:val="none"/>
        </w:rPr>
        <w:t>2.2建设项目竣工环境保护验收技术规范</w:t>
      </w:r>
      <w:r>
        <w:rPr>
          <w:highlight w:val="none"/>
        </w:rPr>
        <w:tab/>
      </w:r>
      <w:r>
        <w:rPr>
          <w:highlight w:val="none"/>
        </w:rPr>
        <w:fldChar w:fldCharType="begin"/>
      </w:r>
      <w:r>
        <w:rPr>
          <w:highlight w:val="none"/>
        </w:rPr>
        <w:instrText xml:space="preserve"> PAGEREF _Toc6407 \h </w:instrText>
      </w:r>
      <w:r>
        <w:rPr>
          <w:highlight w:val="none"/>
        </w:rPr>
        <w:fldChar w:fldCharType="separate"/>
      </w:r>
      <w:r>
        <w:rPr>
          <w:highlight w:val="none"/>
        </w:rPr>
        <w:t>3</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77163BAE">
      <w:pPr>
        <w:pStyle w:val="29"/>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_Toc26066 </w:instrText>
      </w:r>
      <w:r>
        <w:rPr>
          <w:rFonts w:hint="eastAsia" w:ascii="Times New Roman" w:hAnsi="Times New Roman" w:eastAsia="宋体" w:cs="Times New Roman"/>
          <w:szCs w:val="24"/>
          <w:highlight w:val="none"/>
          <w:lang w:val="en-US" w:eastAsia="zh-CN"/>
        </w:rPr>
        <w:fldChar w:fldCharType="separate"/>
      </w:r>
      <w:r>
        <w:rPr>
          <w:rFonts w:cs="Times New Roman"/>
          <w:highlight w:val="none"/>
        </w:rPr>
        <w:t>2.3建设项目环境影响报告</w:t>
      </w:r>
      <w:r>
        <w:rPr>
          <w:rFonts w:hint="eastAsia" w:cs="Times New Roman"/>
          <w:highlight w:val="none"/>
          <w:lang w:val="en-US" w:eastAsia="zh-CN"/>
        </w:rPr>
        <w:t>书</w:t>
      </w:r>
      <w:r>
        <w:rPr>
          <w:rFonts w:cs="Times New Roman"/>
          <w:highlight w:val="none"/>
        </w:rPr>
        <w:t>及其审批部门审批决定</w:t>
      </w:r>
      <w:r>
        <w:rPr>
          <w:highlight w:val="none"/>
        </w:rPr>
        <w:tab/>
      </w:r>
      <w:r>
        <w:rPr>
          <w:highlight w:val="none"/>
        </w:rPr>
        <w:fldChar w:fldCharType="begin"/>
      </w:r>
      <w:r>
        <w:rPr>
          <w:highlight w:val="none"/>
        </w:rPr>
        <w:instrText xml:space="preserve"> PAGEREF _Toc26066 \h </w:instrText>
      </w:r>
      <w:r>
        <w:rPr>
          <w:highlight w:val="none"/>
        </w:rPr>
        <w:fldChar w:fldCharType="separate"/>
      </w:r>
      <w:r>
        <w:rPr>
          <w:highlight w:val="none"/>
        </w:rPr>
        <w:t>4</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7033F75A">
      <w:pPr>
        <w:pStyle w:val="29"/>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_Toc6615 </w:instrText>
      </w:r>
      <w:r>
        <w:rPr>
          <w:rFonts w:hint="eastAsia" w:ascii="Times New Roman" w:hAnsi="Times New Roman" w:eastAsia="宋体" w:cs="Times New Roman"/>
          <w:szCs w:val="24"/>
          <w:highlight w:val="none"/>
          <w:lang w:val="en-US" w:eastAsia="zh-CN"/>
        </w:rPr>
        <w:fldChar w:fldCharType="separate"/>
      </w:r>
      <w:r>
        <w:rPr>
          <w:rFonts w:cs="Times New Roman"/>
          <w:highlight w:val="none"/>
        </w:rPr>
        <w:t>2.4其他相关文件</w:t>
      </w:r>
      <w:r>
        <w:rPr>
          <w:highlight w:val="none"/>
        </w:rPr>
        <w:tab/>
      </w:r>
      <w:r>
        <w:rPr>
          <w:highlight w:val="none"/>
        </w:rPr>
        <w:fldChar w:fldCharType="begin"/>
      </w:r>
      <w:r>
        <w:rPr>
          <w:highlight w:val="none"/>
        </w:rPr>
        <w:instrText xml:space="preserve"> PAGEREF _Toc6615 \h </w:instrText>
      </w:r>
      <w:r>
        <w:rPr>
          <w:highlight w:val="none"/>
        </w:rPr>
        <w:fldChar w:fldCharType="separate"/>
      </w:r>
      <w:r>
        <w:rPr>
          <w:highlight w:val="none"/>
        </w:rPr>
        <w:t>4</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119AE7BE">
      <w:pPr>
        <w:pStyle w:val="28"/>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_Toc7367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3项目建设情况</w:t>
      </w:r>
      <w:r>
        <w:rPr>
          <w:highlight w:val="none"/>
        </w:rPr>
        <w:tab/>
      </w:r>
      <w:r>
        <w:rPr>
          <w:highlight w:val="none"/>
        </w:rPr>
        <w:fldChar w:fldCharType="begin"/>
      </w:r>
      <w:r>
        <w:rPr>
          <w:highlight w:val="none"/>
        </w:rPr>
        <w:instrText xml:space="preserve"> PAGEREF _Toc7367 \h </w:instrText>
      </w:r>
      <w:r>
        <w:rPr>
          <w:highlight w:val="none"/>
        </w:rPr>
        <w:fldChar w:fldCharType="separate"/>
      </w:r>
      <w:r>
        <w:rPr>
          <w:highlight w:val="none"/>
        </w:rPr>
        <w:t>5</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32BD636E">
      <w:pPr>
        <w:pStyle w:val="29"/>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_Toc11373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3.1地理位置</w:t>
      </w:r>
      <w:r>
        <w:rPr>
          <w:highlight w:val="none"/>
        </w:rPr>
        <w:tab/>
      </w:r>
      <w:r>
        <w:rPr>
          <w:highlight w:val="none"/>
        </w:rPr>
        <w:fldChar w:fldCharType="begin"/>
      </w:r>
      <w:r>
        <w:rPr>
          <w:highlight w:val="none"/>
        </w:rPr>
        <w:instrText xml:space="preserve"> PAGEREF _Toc11373 \h </w:instrText>
      </w:r>
      <w:r>
        <w:rPr>
          <w:highlight w:val="none"/>
        </w:rPr>
        <w:fldChar w:fldCharType="separate"/>
      </w:r>
      <w:r>
        <w:rPr>
          <w:highlight w:val="none"/>
        </w:rPr>
        <w:t>5</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7920519C">
      <w:pPr>
        <w:pStyle w:val="29"/>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_Toc5070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3.2建设内容</w:t>
      </w:r>
      <w:r>
        <w:rPr>
          <w:highlight w:val="none"/>
        </w:rPr>
        <w:tab/>
      </w:r>
      <w:r>
        <w:rPr>
          <w:highlight w:val="none"/>
        </w:rPr>
        <w:fldChar w:fldCharType="begin"/>
      </w:r>
      <w:r>
        <w:rPr>
          <w:highlight w:val="none"/>
        </w:rPr>
        <w:instrText xml:space="preserve"> PAGEREF _Toc5070 \h </w:instrText>
      </w:r>
      <w:r>
        <w:rPr>
          <w:highlight w:val="none"/>
        </w:rPr>
        <w:fldChar w:fldCharType="separate"/>
      </w:r>
      <w:r>
        <w:rPr>
          <w:highlight w:val="none"/>
        </w:rPr>
        <w:t>5</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12D79A62">
      <w:pPr>
        <w:pStyle w:val="29"/>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_Toc15264 </w:instrText>
      </w:r>
      <w:r>
        <w:rPr>
          <w:rFonts w:hint="eastAsia" w:ascii="Times New Roman" w:hAnsi="Times New Roman" w:eastAsia="宋体" w:cs="Times New Roman"/>
          <w:szCs w:val="24"/>
          <w:highlight w:val="none"/>
          <w:lang w:val="en-US" w:eastAsia="zh-CN"/>
        </w:rPr>
        <w:fldChar w:fldCharType="separate"/>
      </w:r>
      <w:r>
        <w:rPr>
          <w:rFonts w:cs="Times New Roman"/>
          <w:highlight w:val="none"/>
        </w:rPr>
        <w:t>3.3</w:t>
      </w:r>
      <w:r>
        <w:rPr>
          <w:rFonts w:hint="eastAsia" w:ascii="宋体" w:hAnsi="宋体" w:eastAsia="宋体" w:cs="宋体"/>
          <w:highlight w:val="none"/>
        </w:rPr>
        <w:t>主要原辅材料及燃料</w:t>
      </w:r>
      <w:r>
        <w:rPr>
          <w:highlight w:val="none"/>
        </w:rPr>
        <w:tab/>
      </w:r>
      <w:r>
        <w:rPr>
          <w:highlight w:val="none"/>
        </w:rPr>
        <w:fldChar w:fldCharType="begin"/>
      </w:r>
      <w:r>
        <w:rPr>
          <w:highlight w:val="none"/>
        </w:rPr>
        <w:instrText xml:space="preserve"> PAGEREF _Toc15264 \h </w:instrText>
      </w:r>
      <w:r>
        <w:rPr>
          <w:highlight w:val="none"/>
        </w:rPr>
        <w:fldChar w:fldCharType="separate"/>
      </w:r>
      <w:r>
        <w:rPr>
          <w:highlight w:val="none"/>
        </w:rPr>
        <w:t>13</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1A2F28CF">
      <w:pPr>
        <w:pStyle w:val="29"/>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_Toc1912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3.4水源及水平衡</w:t>
      </w:r>
      <w:r>
        <w:rPr>
          <w:highlight w:val="none"/>
        </w:rPr>
        <w:tab/>
      </w:r>
      <w:r>
        <w:rPr>
          <w:highlight w:val="none"/>
        </w:rPr>
        <w:fldChar w:fldCharType="begin"/>
      </w:r>
      <w:r>
        <w:rPr>
          <w:highlight w:val="none"/>
        </w:rPr>
        <w:instrText xml:space="preserve"> PAGEREF _Toc1912 \h </w:instrText>
      </w:r>
      <w:r>
        <w:rPr>
          <w:highlight w:val="none"/>
        </w:rPr>
        <w:fldChar w:fldCharType="separate"/>
      </w:r>
      <w:r>
        <w:rPr>
          <w:highlight w:val="none"/>
        </w:rPr>
        <w:t>13</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6208B763">
      <w:pPr>
        <w:pStyle w:val="29"/>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_Toc626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3.5生产工艺</w:t>
      </w:r>
      <w:r>
        <w:rPr>
          <w:highlight w:val="none"/>
        </w:rPr>
        <w:tab/>
      </w:r>
      <w:r>
        <w:rPr>
          <w:highlight w:val="none"/>
        </w:rPr>
        <w:fldChar w:fldCharType="begin"/>
      </w:r>
      <w:r>
        <w:rPr>
          <w:highlight w:val="none"/>
        </w:rPr>
        <w:instrText xml:space="preserve"> PAGEREF _Toc626 \h </w:instrText>
      </w:r>
      <w:r>
        <w:rPr>
          <w:highlight w:val="none"/>
        </w:rPr>
        <w:fldChar w:fldCharType="separate"/>
      </w:r>
      <w:r>
        <w:rPr>
          <w:highlight w:val="none"/>
        </w:rPr>
        <w:t>17</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41003984">
      <w:pPr>
        <w:pStyle w:val="29"/>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_Toc15535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3.6</w:t>
      </w:r>
      <w:r>
        <w:rPr>
          <w:rFonts w:hint="eastAsia" w:ascii="宋体" w:hAnsi="宋体" w:eastAsia="宋体" w:cs="宋体"/>
          <w:highlight w:val="none"/>
        </w:rPr>
        <w:t>劳动定员及工作制度</w:t>
      </w:r>
      <w:r>
        <w:rPr>
          <w:highlight w:val="none"/>
        </w:rPr>
        <w:tab/>
      </w:r>
      <w:r>
        <w:rPr>
          <w:highlight w:val="none"/>
        </w:rPr>
        <w:fldChar w:fldCharType="begin"/>
      </w:r>
      <w:r>
        <w:rPr>
          <w:highlight w:val="none"/>
        </w:rPr>
        <w:instrText xml:space="preserve"> PAGEREF _Toc15535 \h </w:instrText>
      </w:r>
      <w:r>
        <w:rPr>
          <w:highlight w:val="none"/>
        </w:rPr>
        <w:fldChar w:fldCharType="separate"/>
      </w:r>
      <w:r>
        <w:rPr>
          <w:highlight w:val="none"/>
        </w:rPr>
        <w:t>20</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08B34D5F">
      <w:pPr>
        <w:pStyle w:val="29"/>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_Toc30827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3.7</w:t>
      </w:r>
      <w:r>
        <w:rPr>
          <w:rFonts w:hint="eastAsia" w:ascii="宋体" w:hAnsi="宋体" w:eastAsia="宋体" w:cs="宋体"/>
          <w:highlight w:val="none"/>
        </w:rPr>
        <w:t>项目投资</w:t>
      </w:r>
      <w:r>
        <w:rPr>
          <w:highlight w:val="none"/>
        </w:rPr>
        <w:tab/>
      </w:r>
      <w:r>
        <w:rPr>
          <w:highlight w:val="none"/>
        </w:rPr>
        <w:fldChar w:fldCharType="begin"/>
      </w:r>
      <w:r>
        <w:rPr>
          <w:highlight w:val="none"/>
        </w:rPr>
        <w:instrText xml:space="preserve"> PAGEREF _Toc30827 \h </w:instrText>
      </w:r>
      <w:r>
        <w:rPr>
          <w:highlight w:val="none"/>
        </w:rPr>
        <w:fldChar w:fldCharType="separate"/>
      </w:r>
      <w:r>
        <w:rPr>
          <w:highlight w:val="none"/>
        </w:rPr>
        <w:t>26</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6230FB77">
      <w:pPr>
        <w:pStyle w:val="29"/>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_Toc531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3.8</w:t>
      </w:r>
      <w:r>
        <w:rPr>
          <w:rFonts w:hint="eastAsia" w:ascii="宋体" w:hAnsi="宋体" w:eastAsia="宋体" w:cs="宋体"/>
          <w:highlight w:val="none"/>
        </w:rPr>
        <w:t>项目变动情况</w:t>
      </w:r>
      <w:r>
        <w:rPr>
          <w:highlight w:val="none"/>
        </w:rPr>
        <w:tab/>
      </w:r>
      <w:r>
        <w:rPr>
          <w:highlight w:val="none"/>
        </w:rPr>
        <w:fldChar w:fldCharType="begin"/>
      </w:r>
      <w:r>
        <w:rPr>
          <w:highlight w:val="none"/>
        </w:rPr>
        <w:instrText xml:space="preserve"> PAGEREF _Toc531 \h </w:instrText>
      </w:r>
      <w:r>
        <w:rPr>
          <w:highlight w:val="none"/>
        </w:rPr>
        <w:fldChar w:fldCharType="separate"/>
      </w:r>
      <w:r>
        <w:rPr>
          <w:highlight w:val="none"/>
        </w:rPr>
        <w:t>27</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3CD7B215">
      <w:pPr>
        <w:pStyle w:val="28"/>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_Toc31222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4环境保护设施</w:t>
      </w:r>
      <w:r>
        <w:rPr>
          <w:highlight w:val="none"/>
        </w:rPr>
        <w:tab/>
      </w:r>
      <w:r>
        <w:rPr>
          <w:highlight w:val="none"/>
        </w:rPr>
        <w:fldChar w:fldCharType="begin"/>
      </w:r>
      <w:r>
        <w:rPr>
          <w:highlight w:val="none"/>
        </w:rPr>
        <w:instrText xml:space="preserve"> PAGEREF _Toc31222 \h </w:instrText>
      </w:r>
      <w:r>
        <w:rPr>
          <w:highlight w:val="none"/>
        </w:rPr>
        <w:fldChar w:fldCharType="separate"/>
      </w:r>
      <w:r>
        <w:rPr>
          <w:highlight w:val="none"/>
        </w:rPr>
        <w:t>29</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4B9599AA">
      <w:pPr>
        <w:pStyle w:val="29"/>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_Toc12650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4.1污染物治理及处置设施</w:t>
      </w:r>
      <w:r>
        <w:rPr>
          <w:highlight w:val="none"/>
        </w:rPr>
        <w:tab/>
      </w:r>
      <w:r>
        <w:rPr>
          <w:highlight w:val="none"/>
        </w:rPr>
        <w:fldChar w:fldCharType="begin"/>
      </w:r>
      <w:r>
        <w:rPr>
          <w:highlight w:val="none"/>
        </w:rPr>
        <w:instrText xml:space="preserve"> PAGEREF _Toc12650 \h </w:instrText>
      </w:r>
      <w:r>
        <w:rPr>
          <w:highlight w:val="none"/>
        </w:rPr>
        <w:fldChar w:fldCharType="separate"/>
      </w:r>
      <w:r>
        <w:rPr>
          <w:highlight w:val="none"/>
        </w:rPr>
        <w:t>29</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68B8218D">
      <w:pPr>
        <w:pStyle w:val="29"/>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_Toc22873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4.</w:t>
      </w:r>
      <w:r>
        <w:rPr>
          <w:rFonts w:hint="eastAsia" w:cs="Times New Roman"/>
          <w:highlight w:val="none"/>
          <w:lang w:val="en-US" w:eastAsia="zh-CN"/>
        </w:rPr>
        <w:t>2</w:t>
      </w:r>
      <w:r>
        <w:rPr>
          <w:rFonts w:hint="default" w:ascii="Times New Roman" w:hAnsi="Times New Roman" w:eastAsia="宋体" w:cs="Times New Roman"/>
          <w:highlight w:val="none"/>
        </w:rPr>
        <w:t>环保设施投资及“三同时”落实情况</w:t>
      </w:r>
      <w:r>
        <w:rPr>
          <w:highlight w:val="none"/>
        </w:rPr>
        <w:tab/>
      </w:r>
      <w:r>
        <w:rPr>
          <w:highlight w:val="none"/>
        </w:rPr>
        <w:fldChar w:fldCharType="begin"/>
      </w:r>
      <w:r>
        <w:rPr>
          <w:highlight w:val="none"/>
        </w:rPr>
        <w:instrText xml:space="preserve"> PAGEREF _Toc22873 \h </w:instrText>
      </w:r>
      <w:r>
        <w:rPr>
          <w:highlight w:val="none"/>
        </w:rPr>
        <w:fldChar w:fldCharType="separate"/>
      </w:r>
      <w:r>
        <w:rPr>
          <w:highlight w:val="none"/>
        </w:rPr>
        <w:t>31</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3811B458">
      <w:pPr>
        <w:pStyle w:val="28"/>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_Toc24193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5</w:t>
      </w:r>
      <w:r>
        <w:rPr>
          <w:rFonts w:hint="eastAsia" w:ascii="宋体" w:hAnsi="宋体" w:eastAsia="宋体" w:cs="宋体"/>
          <w:highlight w:val="none"/>
        </w:rPr>
        <w:t>环境影响报告</w:t>
      </w:r>
      <w:r>
        <w:rPr>
          <w:rFonts w:hint="eastAsia" w:ascii="宋体" w:hAnsi="宋体" w:cs="宋体"/>
          <w:highlight w:val="none"/>
          <w:lang w:val="en-US" w:eastAsia="zh-CN"/>
        </w:rPr>
        <w:t>书</w:t>
      </w:r>
      <w:r>
        <w:rPr>
          <w:rFonts w:hint="eastAsia" w:ascii="宋体" w:hAnsi="宋体" w:eastAsia="宋体" w:cs="宋体"/>
          <w:highlight w:val="none"/>
        </w:rPr>
        <w:t>主要结论与建议及其审批部门审批决定</w:t>
      </w:r>
      <w:r>
        <w:rPr>
          <w:highlight w:val="none"/>
        </w:rPr>
        <w:tab/>
      </w:r>
      <w:r>
        <w:rPr>
          <w:highlight w:val="none"/>
        </w:rPr>
        <w:fldChar w:fldCharType="begin"/>
      </w:r>
      <w:r>
        <w:rPr>
          <w:highlight w:val="none"/>
        </w:rPr>
        <w:instrText xml:space="preserve"> PAGEREF _Toc24193 \h </w:instrText>
      </w:r>
      <w:r>
        <w:rPr>
          <w:highlight w:val="none"/>
        </w:rPr>
        <w:fldChar w:fldCharType="separate"/>
      </w:r>
      <w:r>
        <w:rPr>
          <w:highlight w:val="none"/>
        </w:rPr>
        <w:t>35</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7A24FF21">
      <w:pPr>
        <w:pStyle w:val="29"/>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_Toc14837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5.1结论</w:t>
      </w:r>
      <w:r>
        <w:rPr>
          <w:rFonts w:hint="default" w:ascii="Times New Roman" w:hAnsi="Times New Roman" w:eastAsia="宋体" w:cs="Times New Roman"/>
          <w:highlight w:val="none"/>
          <w:lang w:val="en-US" w:eastAsia="zh-CN"/>
        </w:rPr>
        <w:t>及建议</w:t>
      </w:r>
      <w:r>
        <w:rPr>
          <w:highlight w:val="none"/>
        </w:rPr>
        <w:tab/>
      </w:r>
      <w:r>
        <w:rPr>
          <w:highlight w:val="none"/>
        </w:rPr>
        <w:fldChar w:fldCharType="begin"/>
      </w:r>
      <w:r>
        <w:rPr>
          <w:highlight w:val="none"/>
        </w:rPr>
        <w:instrText xml:space="preserve"> PAGEREF _Toc14837 \h </w:instrText>
      </w:r>
      <w:r>
        <w:rPr>
          <w:highlight w:val="none"/>
        </w:rPr>
        <w:fldChar w:fldCharType="separate"/>
      </w:r>
      <w:r>
        <w:rPr>
          <w:highlight w:val="none"/>
        </w:rPr>
        <w:t>35</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7C954A9A">
      <w:pPr>
        <w:pStyle w:val="29"/>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_Toc14534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5.2审批部门审批决定</w:t>
      </w:r>
      <w:r>
        <w:rPr>
          <w:highlight w:val="none"/>
        </w:rPr>
        <w:tab/>
      </w:r>
      <w:r>
        <w:rPr>
          <w:highlight w:val="none"/>
        </w:rPr>
        <w:fldChar w:fldCharType="begin"/>
      </w:r>
      <w:r>
        <w:rPr>
          <w:highlight w:val="none"/>
        </w:rPr>
        <w:instrText xml:space="preserve"> PAGEREF _Toc14534 \h </w:instrText>
      </w:r>
      <w:r>
        <w:rPr>
          <w:highlight w:val="none"/>
        </w:rPr>
        <w:fldChar w:fldCharType="separate"/>
      </w:r>
      <w:r>
        <w:rPr>
          <w:highlight w:val="none"/>
        </w:rPr>
        <w:t>35</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511399A1">
      <w:pPr>
        <w:pStyle w:val="29"/>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_Toc21244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5.3审批意见落实情况</w:t>
      </w:r>
      <w:r>
        <w:rPr>
          <w:highlight w:val="none"/>
        </w:rPr>
        <w:tab/>
      </w:r>
      <w:r>
        <w:rPr>
          <w:highlight w:val="none"/>
        </w:rPr>
        <w:fldChar w:fldCharType="begin"/>
      </w:r>
      <w:r>
        <w:rPr>
          <w:highlight w:val="none"/>
        </w:rPr>
        <w:instrText xml:space="preserve"> PAGEREF _Toc21244 \h </w:instrText>
      </w:r>
      <w:r>
        <w:rPr>
          <w:highlight w:val="none"/>
        </w:rPr>
        <w:fldChar w:fldCharType="separate"/>
      </w:r>
      <w:r>
        <w:rPr>
          <w:highlight w:val="none"/>
        </w:rPr>
        <w:t>38</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01DB4144">
      <w:pPr>
        <w:pStyle w:val="28"/>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_Toc8652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bCs/>
          <w:szCs w:val="30"/>
          <w:highlight w:val="none"/>
        </w:rPr>
        <w:t>6</w:t>
      </w:r>
      <w:r>
        <w:rPr>
          <w:rFonts w:hint="eastAsia" w:ascii="宋体" w:hAnsi="宋体" w:eastAsia="宋体" w:cs="宋体"/>
          <w:bCs/>
          <w:szCs w:val="30"/>
          <w:highlight w:val="none"/>
        </w:rPr>
        <w:t>污染物排放标准</w:t>
      </w:r>
      <w:r>
        <w:rPr>
          <w:highlight w:val="none"/>
        </w:rPr>
        <w:tab/>
      </w:r>
      <w:r>
        <w:rPr>
          <w:highlight w:val="none"/>
        </w:rPr>
        <w:fldChar w:fldCharType="begin"/>
      </w:r>
      <w:r>
        <w:rPr>
          <w:highlight w:val="none"/>
        </w:rPr>
        <w:instrText xml:space="preserve"> PAGEREF _Toc8652 \h </w:instrText>
      </w:r>
      <w:r>
        <w:rPr>
          <w:highlight w:val="none"/>
        </w:rPr>
        <w:fldChar w:fldCharType="separate"/>
      </w:r>
      <w:r>
        <w:rPr>
          <w:highlight w:val="none"/>
        </w:rPr>
        <w:t>40</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7B1CE052">
      <w:pPr>
        <w:pStyle w:val="29"/>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_Toc30900 </w:instrText>
      </w:r>
      <w:r>
        <w:rPr>
          <w:rFonts w:hint="eastAsia" w:ascii="Times New Roman" w:hAnsi="Times New Roman" w:eastAsia="宋体" w:cs="Times New Roman"/>
          <w:szCs w:val="24"/>
          <w:highlight w:val="none"/>
          <w:lang w:val="en-US" w:eastAsia="zh-CN"/>
        </w:rPr>
        <w:fldChar w:fldCharType="separate"/>
      </w:r>
      <w:r>
        <w:rPr>
          <w:rFonts w:hint="default"/>
          <w:highlight w:val="none"/>
        </w:rPr>
        <w:t>6.1废</w:t>
      </w:r>
      <w:r>
        <w:rPr>
          <w:rFonts w:hint="eastAsia"/>
          <w:highlight w:val="none"/>
          <w:lang w:val="en-US" w:eastAsia="zh-CN"/>
        </w:rPr>
        <w:t>气</w:t>
      </w:r>
      <w:r>
        <w:rPr>
          <w:highlight w:val="none"/>
        </w:rPr>
        <w:tab/>
      </w:r>
      <w:r>
        <w:rPr>
          <w:highlight w:val="none"/>
        </w:rPr>
        <w:fldChar w:fldCharType="begin"/>
      </w:r>
      <w:r>
        <w:rPr>
          <w:highlight w:val="none"/>
        </w:rPr>
        <w:instrText xml:space="preserve"> PAGEREF _Toc30900 \h </w:instrText>
      </w:r>
      <w:r>
        <w:rPr>
          <w:highlight w:val="none"/>
        </w:rPr>
        <w:fldChar w:fldCharType="separate"/>
      </w:r>
      <w:r>
        <w:rPr>
          <w:highlight w:val="none"/>
        </w:rPr>
        <w:t>40</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3642579B">
      <w:pPr>
        <w:pStyle w:val="29"/>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_Toc5865 </w:instrText>
      </w:r>
      <w:r>
        <w:rPr>
          <w:rFonts w:hint="eastAsia" w:ascii="Times New Roman" w:hAnsi="Times New Roman" w:eastAsia="宋体" w:cs="Times New Roman"/>
          <w:szCs w:val="24"/>
          <w:highlight w:val="none"/>
          <w:lang w:val="en-US" w:eastAsia="zh-CN"/>
        </w:rPr>
        <w:fldChar w:fldCharType="separate"/>
      </w:r>
      <w:r>
        <w:rPr>
          <w:rFonts w:hint="default"/>
          <w:highlight w:val="none"/>
        </w:rPr>
        <w:t>6.</w:t>
      </w:r>
      <w:r>
        <w:rPr>
          <w:rFonts w:hint="eastAsia"/>
          <w:highlight w:val="none"/>
          <w:lang w:val="en-US" w:eastAsia="zh-CN"/>
        </w:rPr>
        <w:t>2</w:t>
      </w:r>
      <w:r>
        <w:rPr>
          <w:rFonts w:hint="default"/>
          <w:highlight w:val="none"/>
        </w:rPr>
        <w:t>废水</w:t>
      </w:r>
      <w:r>
        <w:rPr>
          <w:highlight w:val="none"/>
        </w:rPr>
        <w:tab/>
      </w:r>
      <w:r>
        <w:rPr>
          <w:highlight w:val="none"/>
        </w:rPr>
        <w:fldChar w:fldCharType="begin"/>
      </w:r>
      <w:r>
        <w:rPr>
          <w:highlight w:val="none"/>
        </w:rPr>
        <w:instrText xml:space="preserve"> PAGEREF _Toc5865 \h </w:instrText>
      </w:r>
      <w:r>
        <w:rPr>
          <w:highlight w:val="none"/>
        </w:rPr>
        <w:fldChar w:fldCharType="separate"/>
      </w:r>
      <w:r>
        <w:rPr>
          <w:highlight w:val="none"/>
        </w:rPr>
        <w:t>40</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73BD4959">
      <w:pPr>
        <w:pStyle w:val="29"/>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_Toc19636 </w:instrText>
      </w:r>
      <w:r>
        <w:rPr>
          <w:rFonts w:hint="eastAsia" w:ascii="Times New Roman" w:hAnsi="Times New Roman" w:eastAsia="宋体" w:cs="Times New Roman"/>
          <w:szCs w:val="24"/>
          <w:highlight w:val="none"/>
          <w:lang w:val="en-US" w:eastAsia="zh-CN"/>
        </w:rPr>
        <w:fldChar w:fldCharType="separate"/>
      </w:r>
      <w:r>
        <w:rPr>
          <w:rFonts w:hint="default"/>
          <w:highlight w:val="none"/>
        </w:rPr>
        <w:t>6.</w:t>
      </w:r>
      <w:r>
        <w:rPr>
          <w:rFonts w:hint="eastAsia"/>
          <w:highlight w:val="none"/>
          <w:lang w:val="en-US" w:eastAsia="zh-CN"/>
        </w:rPr>
        <w:t>3</w:t>
      </w:r>
      <w:r>
        <w:rPr>
          <w:rFonts w:hint="default"/>
          <w:highlight w:val="none"/>
        </w:rPr>
        <w:t>噪声</w:t>
      </w:r>
      <w:r>
        <w:rPr>
          <w:highlight w:val="none"/>
        </w:rPr>
        <w:tab/>
      </w:r>
      <w:r>
        <w:rPr>
          <w:highlight w:val="none"/>
        </w:rPr>
        <w:fldChar w:fldCharType="begin"/>
      </w:r>
      <w:r>
        <w:rPr>
          <w:highlight w:val="none"/>
        </w:rPr>
        <w:instrText xml:space="preserve"> PAGEREF _Toc19636 \h </w:instrText>
      </w:r>
      <w:r>
        <w:rPr>
          <w:highlight w:val="none"/>
        </w:rPr>
        <w:fldChar w:fldCharType="separate"/>
      </w:r>
      <w:r>
        <w:rPr>
          <w:highlight w:val="none"/>
        </w:rPr>
        <w:t>40</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6758CC79">
      <w:pPr>
        <w:pStyle w:val="29"/>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_Toc20099 </w:instrText>
      </w:r>
      <w:r>
        <w:rPr>
          <w:rFonts w:hint="eastAsia" w:ascii="Times New Roman" w:hAnsi="Times New Roman" w:eastAsia="宋体" w:cs="Times New Roman"/>
          <w:szCs w:val="24"/>
          <w:highlight w:val="none"/>
          <w:lang w:val="en-US" w:eastAsia="zh-CN"/>
        </w:rPr>
        <w:fldChar w:fldCharType="separate"/>
      </w:r>
      <w:r>
        <w:rPr>
          <w:rFonts w:hint="default"/>
          <w:highlight w:val="none"/>
        </w:rPr>
        <w:t>6.</w:t>
      </w:r>
      <w:r>
        <w:rPr>
          <w:rFonts w:hint="eastAsia"/>
          <w:highlight w:val="none"/>
          <w:lang w:val="en-US" w:eastAsia="zh-CN"/>
        </w:rPr>
        <w:t>4</w:t>
      </w:r>
      <w:r>
        <w:rPr>
          <w:rFonts w:hint="eastAsia"/>
          <w:highlight w:val="none"/>
        </w:rPr>
        <w:t>固体废物</w:t>
      </w:r>
      <w:r>
        <w:rPr>
          <w:highlight w:val="none"/>
        </w:rPr>
        <w:tab/>
      </w:r>
      <w:r>
        <w:rPr>
          <w:highlight w:val="none"/>
        </w:rPr>
        <w:fldChar w:fldCharType="begin"/>
      </w:r>
      <w:r>
        <w:rPr>
          <w:highlight w:val="none"/>
        </w:rPr>
        <w:instrText xml:space="preserve"> PAGEREF _Toc20099 \h </w:instrText>
      </w:r>
      <w:r>
        <w:rPr>
          <w:highlight w:val="none"/>
        </w:rPr>
        <w:fldChar w:fldCharType="separate"/>
      </w:r>
      <w:r>
        <w:rPr>
          <w:highlight w:val="none"/>
        </w:rPr>
        <w:t>40</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2A0C2598">
      <w:pPr>
        <w:pStyle w:val="28"/>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_Toc8756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7验收监测内容</w:t>
      </w:r>
      <w:r>
        <w:rPr>
          <w:highlight w:val="none"/>
        </w:rPr>
        <w:tab/>
      </w:r>
      <w:r>
        <w:rPr>
          <w:highlight w:val="none"/>
        </w:rPr>
        <w:fldChar w:fldCharType="begin"/>
      </w:r>
      <w:r>
        <w:rPr>
          <w:highlight w:val="none"/>
        </w:rPr>
        <w:instrText xml:space="preserve"> PAGEREF _Toc8756 \h </w:instrText>
      </w:r>
      <w:r>
        <w:rPr>
          <w:highlight w:val="none"/>
        </w:rPr>
        <w:fldChar w:fldCharType="separate"/>
      </w:r>
      <w:r>
        <w:rPr>
          <w:highlight w:val="none"/>
        </w:rPr>
        <w:t>41</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5D229503">
      <w:pPr>
        <w:pStyle w:val="29"/>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_Toc5049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7.1环境保护设施调试运行效果</w:t>
      </w:r>
      <w:r>
        <w:rPr>
          <w:highlight w:val="none"/>
        </w:rPr>
        <w:tab/>
      </w:r>
      <w:r>
        <w:rPr>
          <w:highlight w:val="none"/>
        </w:rPr>
        <w:fldChar w:fldCharType="begin"/>
      </w:r>
      <w:r>
        <w:rPr>
          <w:highlight w:val="none"/>
        </w:rPr>
        <w:instrText xml:space="preserve"> PAGEREF _Toc5049 \h </w:instrText>
      </w:r>
      <w:r>
        <w:rPr>
          <w:highlight w:val="none"/>
        </w:rPr>
        <w:fldChar w:fldCharType="separate"/>
      </w:r>
      <w:r>
        <w:rPr>
          <w:highlight w:val="none"/>
        </w:rPr>
        <w:t>41</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664BCA5B">
      <w:pPr>
        <w:pStyle w:val="28"/>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_Toc20879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8质量保证和质量控制</w:t>
      </w:r>
      <w:r>
        <w:rPr>
          <w:highlight w:val="none"/>
        </w:rPr>
        <w:tab/>
      </w:r>
      <w:r>
        <w:rPr>
          <w:highlight w:val="none"/>
        </w:rPr>
        <w:fldChar w:fldCharType="begin"/>
      </w:r>
      <w:r>
        <w:rPr>
          <w:highlight w:val="none"/>
        </w:rPr>
        <w:instrText xml:space="preserve"> PAGEREF _Toc20879 \h </w:instrText>
      </w:r>
      <w:r>
        <w:rPr>
          <w:highlight w:val="none"/>
        </w:rPr>
        <w:fldChar w:fldCharType="separate"/>
      </w:r>
      <w:r>
        <w:rPr>
          <w:highlight w:val="none"/>
        </w:rPr>
        <w:t>43</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7B62DD60">
      <w:pPr>
        <w:pStyle w:val="29"/>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_Toc6217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8.1监测分析方法</w:t>
      </w:r>
      <w:r>
        <w:rPr>
          <w:highlight w:val="none"/>
        </w:rPr>
        <w:tab/>
      </w:r>
      <w:r>
        <w:rPr>
          <w:highlight w:val="none"/>
        </w:rPr>
        <w:fldChar w:fldCharType="begin"/>
      </w:r>
      <w:r>
        <w:rPr>
          <w:highlight w:val="none"/>
        </w:rPr>
        <w:instrText xml:space="preserve"> PAGEREF _Toc6217 \h </w:instrText>
      </w:r>
      <w:r>
        <w:rPr>
          <w:highlight w:val="none"/>
        </w:rPr>
        <w:fldChar w:fldCharType="separate"/>
      </w:r>
      <w:r>
        <w:rPr>
          <w:highlight w:val="none"/>
        </w:rPr>
        <w:t>43</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52FD2188">
      <w:pPr>
        <w:pStyle w:val="29"/>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_Toc23835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8.2人员能力</w:t>
      </w:r>
      <w:r>
        <w:rPr>
          <w:highlight w:val="none"/>
        </w:rPr>
        <w:tab/>
      </w:r>
      <w:r>
        <w:rPr>
          <w:highlight w:val="none"/>
        </w:rPr>
        <w:fldChar w:fldCharType="begin"/>
      </w:r>
      <w:r>
        <w:rPr>
          <w:highlight w:val="none"/>
        </w:rPr>
        <w:instrText xml:space="preserve"> PAGEREF _Toc23835 \h </w:instrText>
      </w:r>
      <w:r>
        <w:rPr>
          <w:highlight w:val="none"/>
        </w:rPr>
        <w:fldChar w:fldCharType="separate"/>
      </w:r>
      <w:r>
        <w:rPr>
          <w:highlight w:val="none"/>
        </w:rPr>
        <w:t>43</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358A2CA7">
      <w:pPr>
        <w:pStyle w:val="29"/>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_Toc13972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8.3监测分析过程中的质量保证和质量控制</w:t>
      </w:r>
      <w:r>
        <w:rPr>
          <w:highlight w:val="none"/>
        </w:rPr>
        <w:tab/>
      </w:r>
      <w:r>
        <w:rPr>
          <w:highlight w:val="none"/>
        </w:rPr>
        <w:fldChar w:fldCharType="begin"/>
      </w:r>
      <w:r>
        <w:rPr>
          <w:highlight w:val="none"/>
        </w:rPr>
        <w:instrText xml:space="preserve"> PAGEREF _Toc13972 \h </w:instrText>
      </w:r>
      <w:r>
        <w:rPr>
          <w:highlight w:val="none"/>
        </w:rPr>
        <w:fldChar w:fldCharType="separate"/>
      </w:r>
      <w:r>
        <w:rPr>
          <w:highlight w:val="none"/>
        </w:rPr>
        <w:t>45</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41D1AD0E">
      <w:pPr>
        <w:pStyle w:val="28"/>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_Toc6537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9验收监测结果</w:t>
      </w:r>
      <w:r>
        <w:rPr>
          <w:highlight w:val="none"/>
        </w:rPr>
        <w:tab/>
      </w:r>
      <w:r>
        <w:rPr>
          <w:highlight w:val="none"/>
        </w:rPr>
        <w:fldChar w:fldCharType="begin"/>
      </w:r>
      <w:r>
        <w:rPr>
          <w:highlight w:val="none"/>
        </w:rPr>
        <w:instrText xml:space="preserve"> PAGEREF _Toc6537 \h </w:instrText>
      </w:r>
      <w:r>
        <w:rPr>
          <w:highlight w:val="none"/>
        </w:rPr>
        <w:fldChar w:fldCharType="separate"/>
      </w:r>
      <w:r>
        <w:rPr>
          <w:highlight w:val="none"/>
        </w:rPr>
        <w:t>47</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5206EDA3">
      <w:pPr>
        <w:pStyle w:val="29"/>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_Toc11517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9.1生产工况</w:t>
      </w:r>
      <w:r>
        <w:rPr>
          <w:highlight w:val="none"/>
        </w:rPr>
        <w:tab/>
      </w:r>
      <w:r>
        <w:rPr>
          <w:highlight w:val="none"/>
        </w:rPr>
        <w:fldChar w:fldCharType="begin"/>
      </w:r>
      <w:r>
        <w:rPr>
          <w:highlight w:val="none"/>
        </w:rPr>
        <w:instrText xml:space="preserve"> PAGEREF _Toc11517 \h </w:instrText>
      </w:r>
      <w:r>
        <w:rPr>
          <w:highlight w:val="none"/>
        </w:rPr>
        <w:fldChar w:fldCharType="separate"/>
      </w:r>
      <w:r>
        <w:rPr>
          <w:highlight w:val="none"/>
        </w:rPr>
        <w:t>47</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4A14CB47">
      <w:pPr>
        <w:pStyle w:val="29"/>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_Toc24159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9.2环保设施调试运行效果</w:t>
      </w:r>
      <w:r>
        <w:rPr>
          <w:highlight w:val="none"/>
        </w:rPr>
        <w:tab/>
      </w:r>
      <w:r>
        <w:rPr>
          <w:highlight w:val="none"/>
        </w:rPr>
        <w:fldChar w:fldCharType="begin"/>
      </w:r>
      <w:r>
        <w:rPr>
          <w:highlight w:val="none"/>
        </w:rPr>
        <w:instrText xml:space="preserve"> PAGEREF _Toc24159 \h </w:instrText>
      </w:r>
      <w:r>
        <w:rPr>
          <w:highlight w:val="none"/>
        </w:rPr>
        <w:fldChar w:fldCharType="separate"/>
      </w:r>
      <w:r>
        <w:rPr>
          <w:highlight w:val="none"/>
        </w:rPr>
        <w:t>47</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5E3577D7">
      <w:pPr>
        <w:pStyle w:val="28"/>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_Toc25835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10</w:t>
      </w:r>
      <w:r>
        <w:rPr>
          <w:rFonts w:hint="eastAsia" w:ascii="宋体" w:hAnsi="宋体" w:eastAsia="宋体" w:cs="宋体"/>
          <w:highlight w:val="none"/>
        </w:rPr>
        <w:t>验收监测结论</w:t>
      </w:r>
      <w:r>
        <w:rPr>
          <w:highlight w:val="none"/>
        </w:rPr>
        <w:tab/>
      </w:r>
      <w:r>
        <w:rPr>
          <w:highlight w:val="none"/>
        </w:rPr>
        <w:fldChar w:fldCharType="begin"/>
      </w:r>
      <w:r>
        <w:rPr>
          <w:highlight w:val="none"/>
        </w:rPr>
        <w:instrText xml:space="preserve"> PAGEREF _Toc25835 \h </w:instrText>
      </w:r>
      <w:r>
        <w:rPr>
          <w:highlight w:val="none"/>
        </w:rPr>
        <w:fldChar w:fldCharType="separate"/>
      </w:r>
      <w:r>
        <w:rPr>
          <w:highlight w:val="none"/>
        </w:rPr>
        <w:t>52</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406B1D6E">
      <w:pPr>
        <w:pStyle w:val="28"/>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_Toc10076 </w:instrText>
      </w:r>
      <w:r>
        <w:rPr>
          <w:rFonts w:hint="eastAsia" w:ascii="Times New Roman" w:hAnsi="Times New Roman" w:eastAsia="宋体" w:cs="Times New Roman"/>
          <w:szCs w:val="24"/>
          <w:highlight w:val="none"/>
          <w:lang w:val="en-US" w:eastAsia="zh-CN"/>
        </w:rPr>
        <w:fldChar w:fldCharType="separate"/>
      </w:r>
      <w:r>
        <w:rPr>
          <w:rFonts w:hint="eastAsia" w:ascii="Times New Roman" w:hAnsi="Times New Roman" w:eastAsiaTheme="minorEastAsia"/>
          <w:highlight w:val="none"/>
          <w:lang w:val="en-US" w:eastAsia="zh-CN"/>
        </w:rPr>
        <w:t>11</w:t>
      </w:r>
      <w:r>
        <w:rPr>
          <w:rFonts w:ascii="Times New Roman" w:hAnsi="Times New Roman" w:eastAsiaTheme="minorEastAsia"/>
          <w:highlight w:val="none"/>
        </w:rPr>
        <w:t>建设项目工程竣工环境保护“三同时”验收登记表</w:t>
      </w:r>
      <w:r>
        <w:rPr>
          <w:highlight w:val="none"/>
        </w:rPr>
        <w:tab/>
      </w:r>
      <w:r>
        <w:rPr>
          <w:highlight w:val="none"/>
        </w:rPr>
        <w:fldChar w:fldCharType="begin"/>
      </w:r>
      <w:r>
        <w:rPr>
          <w:highlight w:val="none"/>
        </w:rPr>
        <w:instrText xml:space="preserve"> PAGEREF _Toc10076 \h </w:instrText>
      </w:r>
      <w:r>
        <w:rPr>
          <w:highlight w:val="none"/>
        </w:rPr>
        <w:fldChar w:fldCharType="separate"/>
      </w:r>
      <w:r>
        <w:rPr>
          <w:highlight w:val="none"/>
        </w:rPr>
        <w:t>53</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6984E60E">
      <w:pPr>
        <w:outlineLvl w:val="1"/>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Cs w:val="24"/>
          <w:highlight w:val="none"/>
          <w:lang w:val="en-US" w:eastAsia="zh-CN"/>
        </w:rPr>
        <w:fldChar w:fldCharType="end"/>
      </w:r>
    </w:p>
    <w:p w14:paraId="16B653D4">
      <w:pPr>
        <w:rPr>
          <w:rFonts w:hint="eastAsia" w:ascii="Times New Roman" w:hAnsi="Times New Roman" w:eastAsia="宋体" w:cs="Times New Roman"/>
          <w:sz w:val="24"/>
          <w:szCs w:val="24"/>
          <w:highlight w:val="none"/>
          <w:lang w:val="en-US" w:eastAsia="zh-CN"/>
        </w:rPr>
      </w:pPr>
    </w:p>
    <w:p w14:paraId="2812CB07">
      <w:pPr>
        <w:spacing w:line="480" w:lineRule="exact"/>
        <w:jc w:val="left"/>
        <w:rPr>
          <w:rFonts w:ascii="Times New Roman" w:hAnsi="Times New Roman" w:eastAsiaTheme="minorEastAsia"/>
          <w:b/>
          <w:color w:val="000000" w:themeColor="text1"/>
          <w:sz w:val="30"/>
          <w:szCs w:val="30"/>
          <w:highlight w:val="none"/>
          <w14:textFill>
            <w14:solidFill>
              <w14:schemeClr w14:val="tx1"/>
            </w14:solidFill>
          </w14:textFill>
        </w:rPr>
      </w:pPr>
    </w:p>
    <w:p w14:paraId="59CD22F7">
      <w:pPr>
        <w:pStyle w:val="9"/>
        <w:ind w:firstLine="0" w:firstLineChars="0"/>
        <w:rPr>
          <w:rFonts w:hint="eastAsia"/>
          <w:highlight w:val="none"/>
          <w:lang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04BB2F29">
      <w:pPr>
        <w:pStyle w:val="4"/>
        <w:keepNext/>
        <w:keepLines/>
        <w:pageBreakBefore w:val="0"/>
        <w:widowControl w:val="0"/>
        <w:kinsoku/>
        <w:wordWrap/>
        <w:overflowPunct/>
        <w:topLinePunct w:val="0"/>
        <w:autoSpaceDE/>
        <w:autoSpaceDN/>
        <w:bidi w:val="0"/>
        <w:adjustRightInd/>
        <w:snapToGrid/>
        <w:spacing w:line="360" w:lineRule="auto"/>
        <w:textAlignment w:val="auto"/>
        <w:rPr>
          <w:color w:val="000000" w:themeColor="text1"/>
          <w:highlight w:val="none"/>
          <w14:textFill>
            <w14:solidFill>
              <w14:schemeClr w14:val="tx1"/>
            </w14:solidFill>
          </w14:textFill>
        </w:rPr>
      </w:pPr>
      <w:bookmarkStart w:id="1" w:name="_Toc13713"/>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项目概况</w:t>
      </w:r>
      <w:bookmarkEnd w:id="1"/>
    </w:p>
    <w:p w14:paraId="5FCBA0D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color w:val="auto"/>
          <w:sz w:val="24"/>
          <w:szCs w:val="24"/>
          <w:highlight w:val="none"/>
          <w:lang w:val="en-US" w:eastAsia="zh-CN"/>
        </w:rPr>
        <w:t>唐山市康泰科技有限公司拟投资2500万元建设年产羊肉片机5000台新建项目。项目位于河北玉田经济开发区鸦鸿桥产业园（孙各庄村），建成后形成年产5000台羊肉片机的规模。本项目己取得河北玉田经济开发区管理委员会行政审批局备案，备案编号：玉园备字[2018]168号，</w:t>
      </w:r>
      <w:r>
        <w:rPr>
          <w:rFonts w:hint="default" w:ascii="Times New Roman" w:hAnsi="Times New Roman" w:eastAsia="宋体" w:cs="Times New Roman"/>
          <w:color w:val="auto"/>
          <w:sz w:val="24"/>
          <w:szCs w:val="24"/>
          <w:highlight w:val="none"/>
          <w:lang w:val="en-US" w:eastAsia="zh-CN"/>
        </w:rPr>
        <w:t>202</w:t>
      </w:r>
      <w:r>
        <w:rPr>
          <w:rFonts w:hint="eastAsia"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val="en-US" w:eastAsia="zh-CN"/>
        </w:rPr>
        <w:t>年</w:t>
      </w:r>
      <w:r>
        <w:rPr>
          <w:rFonts w:hint="eastAsia" w:ascii="Times New Roman" w:hAnsi="Times New Roman" w:eastAsia="宋体"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lang w:val="en-US" w:eastAsia="zh-CN"/>
        </w:rPr>
        <w:t>月</w:t>
      </w:r>
      <w:r>
        <w:rPr>
          <w:rFonts w:hint="eastAsia" w:ascii="Times New Roman" w:hAnsi="Times New Roman" w:eastAsia="宋体" w:cs="Times New Roman"/>
          <w:color w:val="auto"/>
          <w:sz w:val="24"/>
          <w:szCs w:val="24"/>
          <w:highlight w:val="none"/>
          <w:lang w:val="en-US" w:eastAsia="zh-CN"/>
        </w:rPr>
        <w:t>，唐山市康泰科技有限公司</w:t>
      </w:r>
      <w:r>
        <w:rPr>
          <w:rFonts w:hint="default" w:ascii="Times New Roman" w:hAnsi="Times New Roman" w:eastAsia="宋体" w:cs="Times New Roman"/>
          <w:color w:val="auto"/>
          <w:sz w:val="24"/>
          <w:szCs w:val="24"/>
          <w:highlight w:val="none"/>
          <w:lang w:val="en-US" w:eastAsia="zh-CN"/>
        </w:rPr>
        <w:t>委托</w:t>
      </w:r>
      <w:r>
        <w:rPr>
          <w:rFonts w:hint="eastAsia" w:ascii="Times New Roman" w:hAnsi="Times New Roman" w:eastAsia="宋体" w:cs="Times New Roman"/>
          <w:color w:val="auto"/>
          <w:sz w:val="24"/>
          <w:szCs w:val="24"/>
          <w:highlight w:val="none"/>
          <w:lang w:val="en-US" w:eastAsia="zh-CN"/>
        </w:rPr>
        <w:t>唐山</w:t>
      </w:r>
      <w:r>
        <w:rPr>
          <w:rFonts w:hint="default" w:ascii="Times New Roman" w:hAnsi="Times New Roman" w:eastAsia="宋体" w:cs="Times New Roman"/>
          <w:color w:val="auto"/>
          <w:sz w:val="24"/>
          <w:szCs w:val="24"/>
          <w:highlight w:val="none"/>
          <w:lang w:val="en-US" w:eastAsia="zh-CN"/>
        </w:rPr>
        <w:t>鼎清环保科技有限公司编制完成《</w:t>
      </w:r>
      <w:r>
        <w:rPr>
          <w:rFonts w:hint="eastAsia" w:ascii="Times New Roman" w:hAnsi="Times New Roman" w:eastAsia="宋体" w:cs="Times New Roman"/>
          <w:color w:val="auto"/>
          <w:sz w:val="24"/>
          <w:szCs w:val="24"/>
          <w:highlight w:val="none"/>
          <w:lang w:val="en-US" w:eastAsia="zh-CN"/>
        </w:rPr>
        <w:t>唐山市康泰科技有限公司产羊肉片机5000台新建项目环境影响报告书</w:t>
      </w:r>
      <w:r>
        <w:rPr>
          <w:rFonts w:hint="default" w:ascii="Times New Roman" w:hAnsi="Times New Roman" w:eastAsia="宋体" w:cs="Times New Roman"/>
          <w:color w:val="auto"/>
          <w:sz w:val="24"/>
          <w:szCs w:val="24"/>
          <w:highlight w:val="none"/>
          <w:lang w:val="en-US" w:eastAsia="zh-CN"/>
        </w:rPr>
        <w:t>》。202</w:t>
      </w:r>
      <w:r>
        <w:rPr>
          <w:rFonts w:hint="eastAsia"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val="en-US" w:eastAsia="zh-CN"/>
        </w:rPr>
        <w:t>年</w:t>
      </w:r>
      <w:r>
        <w:rPr>
          <w:rFonts w:hint="eastAsia" w:ascii="Times New Roman" w:hAnsi="Times New Roman" w:eastAsia="宋体"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lang w:val="en-US" w:eastAsia="zh-CN"/>
        </w:rPr>
        <w:t>月</w:t>
      </w:r>
      <w:r>
        <w:rPr>
          <w:rFonts w:hint="eastAsia" w:ascii="Times New Roman" w:hAnsi="Times New Roman" w:eastAsia="宋体" w:cs="Times New Roman"/>
          <w:color w:val="auto"/>
          <w:sz w:val="24"/>
          <w:szCs w:val="24"/>
          <w:highlight w:val="none"/>
          <w:lang w:val="en-US" w:eastAsia="zh-CN"/>
        </w:rPr>
        <w:t>25</w:t>
      </w:r>
      <w:r>
        <w:rPr>
          <w:rFonts w:hint="default" w:ascii="Times New Roman" w:hAnsi="Times New Roman" w:eastAsia="宋体" w:cs="Times New Roman"/>
          <w:color w:val="auto"/>
          <w:sz w:val="24"/>
          <w:szCs w:val="24"/>
          <w:highlight w:val="none"/>
          <w:lang w:val="en-US" w:eastAsia="zh-CN"/>
        </w:rPr>
        <w:t>日</w:t>
      </w:r>
      <w:r>
        <w:rPr>
          <w:rFonts w:hint="eastAsia" w:ascii="Times New Roman" w:hAnsi="Times New Roman" w:eastAsia="宋体" w:cs="Times New Roman"/>
          <w:color w:val="auto"/>
          <w:sz w:val="24"/>
          <w:szCs w:val="24"/>
          <w:highlight w:val="none"/>
          <w:lang w:val="en-US" w:eastAsia="zh-CN"/>
        </w:rPr>
        <w:t>玉田县行政审批局</w:t>
      </w:r>
      <w:r>
        <w:rPr>
          <w:rFonts w:hint="default" w:ascii="Times New Roman" w:hAnsi="Times New Roman" w:eastAsia="宋体" w:cs="Times New Roman"/>
          <w:color w:val="auto"/>
          <w:sz w:val="24"/>
          <w:szCs w:val="24"/>
          <w:highlight w:val="none"/>
          <w:lang w:val="en-US" w:eastAsia="zh-CN"/>
        </w:rPr>
        <w:t>以</w:t>
      </w:r>
      <w:r>
        <w:rPr>
          <w:rFonts w:hint="eastAsia" w:ascii="Times New Roman" w:hAnsi="Times New Roman" w:eastAsia="宋体" w:cs="Times New Roman"/>
          <w:color w:val="auto"/>
          <w:sz w:val="24"/>
          <w:szCs w:val="24"/>
          <w:highlight w:val="none"/>
          <w:lang w:val="en-US" w:eastAsia="zh-CN"/>
        </w:rPr>
        <w:t>玉审环书</w:t>
      </w:r>
      <w:r>
        <w:rPr>
          <w:rFonts w:hint="default" w:ascii="Times New Roman" w:hAnsi="Times New Roman" w:eastAsia="宋体" w:cs="Times New Roman"/>
          <w:color w:val="auto"/>
          <w:sz w:val="24"/>
          <w:szCs w:val="24"/>
          <w:highlight w:val="none"/>
          <w:lang w:val="en-US" w:eastAsia="zh-CN"/>
        </w:rPr>
        <w:t>〔202</w:t>
      </w:r>
      <w:r>
        <w:rPr>
          <w:rFonts w:hint="eastAsia"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lang w:val="en-US" w:eastAsia="zh-CN"/>
        </w:rPr>
        <w:t>号对项目进行审批，取得审批意见</w:t>
      </w:r>
      <w:r>
        <w:rPr>
          <w:rFonts w:hint="eastAsia" w:ascii="Times New Roman" w:hAnsi="Times New Roman" w:eastAsia="宋体" w:cs="Times New Roman"/>
          <w:color w:val="auto"/>
          <w:sz w:val="24"/>
          <w:szCs w:val="24"/>
          <w:highlight w:val="none"/>
          <w:lang w:val="en-US" w:eastAsia="zh-CN"/>
        </w:rPr>
        <w:t>，同意项目建设</w:t>
      </w:r>
      <w:r>
        <w:rPr>
          <w:rFonts w:hint="default" w:ascii="Times New Roman" w:hAnsi="Times New Roman" w:eastAsia="宋体" w:cs="Times New Roman"/>
          <w:color w:val="auto"/>
          <w:sz w:val="24"/>
          <w:szCs w:val="24"/>
          <w:highlight w:val="none"/>
          <w:lang w:val="en-US" w:eastAsia="zh-CN"/>
        </w:rPr>
        <w:t>。</w:t>
      </w:r>
    </w:p>
    <w:p w14:paraId="010607E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Cs/>
          <w:color w:val="0000FF"/>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唐山市康泰科技有限公司已</w:t>
      </w:r>
      <w:r>
        <w:rPr>
          <w:rFonts w:hint="eastAsia" w:ascii="Times New Roman" w:hAnsi="Times New Roman" w:eastAsia="宋体" w:cs="Times New Roman"/>
          <w:bCs/>
          <w:color w:val="auto"/>
          <w:sz w:val="24"/>
          <w:szCs w:val="24"/>
          <w:highlight w:val="none"/>
          <w:lang w:val="en-US" w:eastAsia="zh-CN"/>
        </w:rPr>
        <w:t>完成排污许可证变更（证书编号：91130229MA0CM1HT60001W），有效期至2026年01月04日至2031年01月03日</w:t>
      </w:r>
      <w:r>
        <w:rPr>
          <w:rFonts w:hint="default" w:ascii="Times New Roman" w:hAnsi="Times New Roman" w:eastAsia="宋体" w:cs="Times New Roman"/>
          <w:bCs/>
          <w:color w:val="auto"/>
          <w:sz w:val="24"/>
          <w:szCs w:val="24"/>
          <w:highlight w:val="none"/>
          <w:lang w:val="en-US" w:eastAsia="zh-CN"/>
        </w:rPr>
        <w:t>。</w:t>
      </w:r>
    </w:p>
    <w:p w14:paraId="2B7CB8F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项目基本</w:t>
      </w:r>
      <w:r>
        <w:rPr>
          <w:rFonts w:hint="default" w:ascii="Times New Roman" w:hAnsi="Times New Roman" w:eastAsia="宋体" w:cs="Times New Roman"/>
          <w:color w:val="000000" w:themeColor="text1"/>
          <w:sz w:val="24"/>
          <w:szCs w:val="24"/>
          <w:highlight w:val="none"/>
          <w14:textFill>
            <w14:solidFill>
              <w14:schemeClr w14:val="tx1"/>
            </w14:solidFill>
          </w14:textFill>
        </w:rPr>
        <w:t>情况介绍见下表1-1。</w:t>
      </w:r>
    </w:p>
    <w:p w14:paraId="1999E15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Times New Roman" w:hAnsi="Times New Roman" w:eastAsiaTheme="minorEastAsia"/>
          <w:b/>
          <w:color w:val="000000" w:themeColor="text1"/>
          <w:sz w:val="24"/>
          <w:szCs w:val="24"/>
          <w:highlight w:val="none"/>
          <w14:textFill>
            <w14:solidFill>
              <w14:schemeClr w14:val="tx1"/>
            </w14:solidFill>
          </w14:textFill>
        </w:rPr>
      </w:pPr>
      <w:r>
        <w:rPr>
          <w:rFonts w:ascii="Times New Roman" w:hAnsi="Times New Roman" w:eastAsiaTheme="minorEastAsia"/>
          <w:b/>
          <w:color w:val="000000" w:themeColor="text1"/>
          <w:sz w:val="24"/>
          <w:szCs w:val="24"/>
          <w:highlight w:val="none"/>
          <w14:textFill>
            <w14:solidFill>
              <w14:schemeClr w14:val="tx1"/>
            </w14:solidFill>
          </w14:textFill>
        </w:rPr>
        <w:t>表</w:t>
      </w:r>
      <w:r>
        <w:rPr>
          <w:rFonts w:hint="eastAsia" w:ascii="Times New Roman" w:hAnsi="Times New Roman" w:eastAsiaTheme="minorEastAsia"/>
          <w:b/>
          <w:color w:val="000000" w:themeColor="text1"/>
          <w:sz w:val="24"/>
          <w:szCs w:val="24"/>
          <w:highlight w:val="none"/>
          <w14:textFill>
            <w14:solidFill>
              <w14:schemeClr w14:val="tx1"/>
            </w14:solidFill>
          </w14:textFill>
        </w:rPr>
        <w:t>1</w:t>
      </w:r>
      <w:r>
        <w:rPr>
          <w:rFonts w:ascii="Times New Roman" w:hAnsi="Times New Roman" w:eastAsiaTheme="minorEastAsia"/>
          <w:b/>
          <w:color w:val="000000" w:themeColor="text1"/>
          <w:sz w:val="24"/>
          <w:szCs w:val="24"/>
          <w:highlight w:val="none"/>
          <w14:textFill>
            <w14:solidFill>
              <w14:schemeClr w14:val="tx1"/>
            </w14:solidFill>
          </w14:textFill>
        </w:rPr>
        <w:t>-1项目基本情况</w:t>
      </w:r>
    </w:p>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1"/>
        <w:gridCol w:w="1986"/>
        <w:gridCol w:w="1585"/>
        <w:gridCol w:w="3190"/>
      </w:tblGrid>
      <w:tr w14:paraId="710F6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33" w:type="pct"/>
            <w:vAlign w:val="center"/>
          </w:tcPr>
          <w:p w14:paraId="20A0287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项目名称</w:t>
            </w:r>
          </w:p>
        </w:tc>
        <w:tc>
          <w:tcPr>
            <w:tcW w:w="3966" w:type="pct"/>
            <w:gridSpan w:val="3"/>
            <w:vAlign w:val="center"/>
          </w:tcPr>
          <w:p w14:paraId="5B68801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唐山市康泰科技有限公司年产羊肉片机5000台新建项目</w:t>
            </w:r>
          </w:p>
        </w:tc>
      </w:tr>
      <w:tr w14:paraId="70857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33" w:type="pct"/>
            <w:vAlign w:val="center"/>
          </w:tcPr>
          <w:p w14:paraId="429B779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建设单位</w:t>
            </w:r>
          </w:p>
        </w:tc>
        <w:tc>
          <w:tcPr>
            <w:tcW w:w="3966" w:type="pct"/>
            <w:gridSpan w:val="3"/>
            <w:vAlign w:val="center"/>
          </w:tcPr>
          <w:p w14:paraId="368522A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唐山市康泰科技有限公司</w:t>
            </w:r>
          </w:p>
        </w:tc>
      </w:tr>
      <w:tr w14:paraId="6C9CE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33" w:type="pct"/>
            <w:vAlign w:val="center"/>
          </w:tcPr>
          <w:p w14:paraId="336AEA9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bCs/>
                <w:color w:val="auto"/>
                <w:sz w:val="21"/>
                <w:szCs w:val="21"/>
                <w:highlight w:val="none"/>
                <w:lang w:val="en-US" w:eastAsia="zh-CN"/>
              </w:rPr>
              <w:t>法定代表人</w:t>
            </w:r>
          </w:p>
        </w:tc>
        <w:tc>
          <w:tcPr>
            <w:tcW w:w="1165" w:type="pct"/>
            <w:vAlign w:val="center"/>
          </w:tcPr>
          <w:p w14:paraId="56DB45E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冯建伟</w:t>
            </w:r>
          </w:p>
        </w:tc>
        <w:tc>
          <w:tcPr>
            <w:tcW w:w="930" w:type="pct"/>
            <w:vAlign w:val="center"/>
          </w:tcPr>
          <w:p w14:paraId="6620A7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联系人</w:t>
            </w:r>
          </w:p>
        </w:tc>
        <w:tc>
          <w:tcPr>
            <w:tcW w:w="1870" w:type="pct"/>
            <w:vAlign w:val="center"/>
          </w:tcPr>
          <w:p w14:paraId="42E4CDF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冯建伟</w:t>
            </w:r>
          </w:p>
        </w:tc>
      </w:tr>
      <w:tr w14:paraId="4BCD2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33" w:type="pct"/>
            <w:vAlign w:val="center"/>
          </w:tcPr>
          <w:p w14:paraId="0CCA65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通信地址</w:t>
            </w:r>
          </w:p>
        </w:tc>
        <w:tc>
          <w:tcPr>
            <w:tcW w:w="3966" w:type="pct"/>
            <w:gridSpan w:val="3"/>
            <w:vAlign w:val="center"/>
          </w:tcPr>
          <w:p w14:paraId="1A642EC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河北玉田经济开发区鸦鸿桥产业园（孙各庄村）</w:t>
            </w:r>
          </w:p>
        </w:tc>
      </w:tr>
      <w:tr w14:paraId="3B5E1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33" w:type="pct"/>
            <w:vAlign w:val="center"/>
          </w:tcPr>
          <w:p w14:paraId="662E5D7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联系电话</w:t>
            </w:r>
          </w:p>
        </w:tc>
        <w:tc>
          <w:tcPr>
            <w:tcW w:w="1165" w:type="pct"/>
            <w:vAlign w:val="center"/>
          </w:tcPr>
          <w:p w14:paraId="45AE81B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18103156685</w:t>
            </w:r>
          </w:p>
        </w:tc>
        <w:tc>
          <w:tcPr>
            <w:tcW w:w="930" w:type="pct"/>
            <w:vAlign w:val="center"/>
          </w:tcPr>
          <w:p w14:paraId="49A6619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邮编</w:t>
            </w:r>
          </w:p>
        </w:tc>
        <w:tc>
          <w:tcPr>
            <w:tcW w:w="1870" w:type="pct"/>
            <w:vAlign w:val="center"/>
          </w:tcPr>
          <w:p w14:paraId="3B1882A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064100</w:t>
            </w:r>
          </w:p>
        </w:tc>
      </w:tr>
      <w:tr w14:paraId="4F282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33" w:type="pct"/>
            <w:vAlign w:val="center"/>
          </w:tcPr>
          <w:p w14:paraId="31119CB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项目性质</w:t>
            </w:r>
          </w:p>
        </w:tc>
        <w:tc>
          <w:tcPr>
            <w:tcW w:w="1165" w:type="pct"/>
            <w:vAlign w:val="center"/>
          </w:tcPr>
          <w:p w14:paraId="7CE5F45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新建</w:t>
            </w:r>
          </w:p>
        </w:tc>
        <w:tc>
          <w:tcPr>
            <w:tcW w:w="930" w:type="pct"/>
            <w:vAlign w:val="center"/>
          </w:tcPr>
          <w:p w14:paraId="6C7B656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行业类别</w:t>
            </w:r>
          </w:p>
        </w:tc>
        <w:tc>
          <w:tcPr>
            <w:tcW w:w="1870" w:type="pct"/>
            <w:vAlign w:val="center"/>
          </w:tcPr>
          <w:p w14:paraId="5975099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C3532农副食品加工专用设备制造</w:t>
            </w:r>
          </w:p>
        </w:tc>
      </w:tr>
      <w:tr w14:paraId="5646E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33" w:type="pct"/>
            <w:vAlign w:val="center"/>
          </w:tcPr>
          <w:p w14:paraId="42B4919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建设地点</w:t>
            </w:r>
          </w:p>
        </w:tc>
        <w:tc>
          <w:tcPr>
            <w:tcW w:w="3966" w:type="pct"/>
            <w:gridSpan w:val="3"/>
            <w:vAlign w:val="center"/>
          </w:tcPr>
          <w:p w14:paraId="49D71E3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河北省唐山市丰润区新军屯镇里堡寨村</w:t>
            </w:r>
          </w:p>
        </w:tc>
      </w:tr>
      <w:tr w14:paraId="3748A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33" w:type="pct"/>
            <w:vAlign w:val="center"/>
          </w:tcPr>
          <w:p w14:paraId="5550F4F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占地面积</w:t>
            </w:r>
          </w:p>
        </w:tc>
        <w:tc>
          <w:tcPr>
            <w:tcW w:w="1165" w:type="pct"/>
            <w:vAlign w:val="center"/>
          </w:tcPr>
          <w:p w14:paraId="7463D55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等线" w:cs="Times New Roman"/>
                <w:bCs/>
                <w:color w:val="auto"/>
                <w:sz w:val="21"/>
                <w:szCs w:val="21"/>
                <w:highlight w:val="none"/>
                <w:lang w:val="en-US" w:eastAsia="zh-CN"/>
              </w:rPr>
            </w:pPr>
            <w:r>
              <w:rPr>
                <w:rFonts w:hint="eastAsia" w:ascii="Times New Roman" w:hAnsi="Times New Roman"/>
                <w:color w:val="auto"/>
                <w:sz w:val="21"/>
                <w:szCs w:val="21"/>
                <w:highlight w:val="none"/>
                <w:lang w:val="en-US" w:eastAsia="zh-CN"/>
              </w:rPr>
              <w:t>2462</w:t>
            </w:r>
            <w:r>
              <w:rPr>
                <w:rFonts w:ascii="Times New Roman" w:hAnsi="Times New Roman"/>
                <w:color w:val="auto"/>
                <w:sz w:val="21"/>
                <w:szCs w:val="21"/>
                <w:highlight w:val="none"/>
              </w:rPr>
              <w:t>m</w:t>
            </w:r>
            <w:r>
              <w:rPr>
                <w:rFonts w:ascii="Times New Roman" w:hAnsi="Times New Roman"/>
                <w:color w:val="auto"/>
                <w:sz w:val="21"/>
                <w:szCs w:val="21"/>
                <w:highlight w:val="none"/>
                <w:vertAlign w:val="superscript"/>
              </w:rPr>
              <w:t>2</w:t>
            </w:r>
          </w:p>
        </w:tc>
        <w:tc>
          <w:tcPr>
            <w:tcW w:w="930" w:type="pct"/>
            <w:vAlign w:val="center"/>
          </w:tcPr>
          <w:p w14:paraId="6CFB681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经纬度</w:t>
            </w:r>
          </w:p>
        </w:tc>
        <w:tc>
          <w:tcPr>
            <w:tcW w:w="1870" w:type="pct"/>
            <w:vAlign w:val="center"/>
          </w:tcPr>
          <w:p w14:paraId="0EC3B66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东</w:t>
            </w:r>
            <w:r>
              <w:rPr>
                <w:rFonts w:hint="default" w:ascii="Times New Roman" w:hAnsi="Times New Roman" w:eastAsia="宋体" w:cs="Times New Roman"/>
                <w:bCs/>
                <w:color w:val="auto"/>
                <w:sz w:val="21"/>
                <w:szCs w:val="21"/>
                <w:highlight w:val="none"/>
                <w:lang w:val="en-US" w:eastAsia="zh-CN"/>
              </w:rPr>
              <w:t>经117°48′38.91349″</w:t>
            </w:r>
          </w:p>
          <w:p w14:paraId="3CBE521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北纬39°45′1.40820″</w:t>
            </w:r>
          </w:p>
        </w:tc>
      </w:tr>
    </w:tbl>
    <w:p w14:paraId="201E5E97">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唐山市康泰科技有限公司年产羊肉片机5000台新建项目</w:t>
      </w:r>
      <w:r>
        <w:rPr>
          <w:rFonts w:hint="default" w:ascii="Times New Roman" w:hAnsi="Times New Roman" w:eastAsia="宋体" w:cs="Times New Roman"/>
          <w:bCs/>
          <w:color w:val="auto"/>
          <w:sz w:val="24"/>
          <w:szCs w:val="24"/>
          <w:highlight w:val="none"/>
        </w:rPr>
        <w:t>于20</w:t>
      </w:r>
      <w:r>
        <w:rPr>
          <w:rFonts w:hint="default" w:ascii="Times New Roman" w:hAnsi="Times New Roman" w:eastAsia="宋体" w:cs="Times New Roman"/>
          <w:bCs/>
          <w:color w:val="auto"/>
          <w:sz w:val="24"/>
          <w:szCs w:val="24"/>
          <w:highlight w:val="none"/>
          <w:lang w:val="en-US" w:eastAsia="zh-CN"/>
        </w:rPr>
        <w:t>2</w:t>
      </w:r>
      <w:r>
        <w:rPr>
          <w:rFonts w:hint="eastAsia" w:ascii="Times New Roman" w:hAnsi="Times New Roman" w:eastAsia="宋体" w:cs="Times New Roman"/>
          <w:bCs/>
          <w:color w:val="auto"/>
          <w:sz w:val="24"/>
          <w:szCs w:val="24"/>
          <w:highlight w:val="none"/>
          <w:lang w:val="en-US" w:eastAsia="zh-CN"/>
        </w:rPr>
        <w:t>6</w:t>
      </w:r>
      <w:r>
        <w:rPr>
          <w:rFonts w:hint="default" w:ascii="Times New Roman" w:hAnsi="Times New Roman" w:eastAsia="宋体" w:cs="Times New Roman"/>
          <w:bCs/>
          <w:color w:val="auto"/>
          <w:sz w:val="24"/>
          <w:szCs w:val="24"/>
          <w:highlight w:val="none"/>
        </w:rPr>
        <w:t>年</w:t>
      </w:r>
      <w:r>
        <w:rPr>
          <w:rFonts w:hint="eastAsia" w:ascii="Times New Roman" w:hAnsi="Times New Roman" w:eastAsia="宋体" w:cs="Times New Roman"/>
          <w:bCs/>
          <w:color w:val="auto"/>
          <w:sz w:val="24"/>
          <w:szCs w:val="24"/>
          <w:highlight w:val="none"/>
          <w:lang w:val="en-US" w:eastAsia="zh-CN"/>
        </w:rPr>
        <w:t>3</w:t>
      </w:r>
      <w:r>
        <w:rPr>
          <w:rFonts w:hint="default" w:ascii="Times New Roman" w:hAnsi="Times New Roman" w:eastAsia="宋体" w:cs="Times New Roman"/>
          <w:bCs/>
          <w:color w:val="auto"/>
          <w:sz w:val="24"/>
          <w:szCs w:val="24"/>
          <w:highlight w:val="none"/>
        </w:rPr>
        <w:t>月建设完成，并</w:t>
      </w:r>
      <w:r>
        <w:rPr>
          <w:rFonts w:hint="eastAsia" w:ascii="Times New Roman" w:hAnsi="Times New Roman" w:eastAsia="宋体" w:cs="Times New Roman"/>
          <w:bCs/>
          <w:color w:val="auto"/>
          <w:sz w:val="24"/>
          <w:szCs w:val="24"/>
          <w:highlight w:val="none"/>
          <w:lang w:val="en-US" w:eastAsia="zh-CN"/>
        </w:rPr>
        <w:t>于2026年3月</w:t>
      </w:r>
      <w:r>
        <w:rPr>
          <w:rFonts w:hint="default" w:ascii="Times New Roman" w:hAnsi="Times New Roman" w:eastAsia="宋体" w:cs="Times New Roman"/>
          <w:bCs/>
          <w:color w:val="auto"/>
          <w:sz w:val="24"/>
          <w:szCs w:val="24"/>
          <w:highlight w:val="none"/>
        </w:rPr>
        <w:t>进入生产调试期。</w:t>
      </w:r>
      <w:r>
        <w:rPr>
          <w:rFonts w:hint="default" w:ascii="Times New Roman" w:hAnsi="Times New Roman" w:eastAsia="宋体" w:cs="Times New Roman"/>
          <w:bCs/>
          <w:color w:val="auto"/>
          <w:sz w:val="24"/>
          <w:szCs w:val="24"/>
          <w:highlight w:val="none"/>
        </w:rPr>
        <w:t>根据</w:t>
      </w:r>
      <w:r>
        <w:rPr>
          <w:rFonts w:hint="default" w:ascii="Times New Roman" w:hAnsi="Times New Roman" w:eastAsia="宋体" w:cs="Times New Roman"/>
          <w:color w:val="auto"/>
          <w:sz w:val="24"/>
          <w:szCs w:val="24"/>
          <w:highlight w:val="none"/>
        </w:rPr>
        <w:t>《中华人民共和国环境保护法》和《建设项目环境保护管理条例》（国务院第682号令）等有关规定，按照环境保护设施与主体工程同时设计、同时施工、同时投入使用的</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三同时</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制度要求，查清工程在施工过程中对环境影响报告</w:t>
      </w:r>
      <w:r>
        <w:rPr>
          <w:rFonts w:hint="eastAsia" w:ascii="Times New Roman" w:hAnsi="Times New Roman" w:eastAsia="宋体" w:cs="Times New Roman"/>
          <w:color w:val="auto"/>
          <w:sz w:val="24"/>
          <w:szCs w:val="24"/>
          <w:highlight w:val="none"/>
          <w:lang w:val="en-US" w:eastAsia="zh-CN"/>
        </w:rPr>
        <w:t>书</w:t>
      </w:r>
      <w:r>
        <w:rPr>
          <w:rFonts w:hint="default" w:ascii="Times New Roman" w:hAnsi="Times New Roman" w:eastAsia="宋体" w:cs="Times New Roman"/>
          <w:color w:val="auto"/>
          <w:sz w:val="24"/>
          <w:szCs w:val="24"/>
          <w:highlight w:val="none"/>
        </w:rPr>
        <w:t>和工程设计文件所提出的环境保护措施和要求的落实情况，调查分析工程在建设和试运行期间对环境造成的实际影响及可能存在的潜在影响，是否已采取有效的环境保护预防、减缓和补救措施，全面做好环境保护工作，为工程竣工环境保护验收提供依据。</w:t>
      </w:r>
    </w:p>
    <w:p w14:paraId="4624CD86">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我公司按照关于发布《建设项目竣工环境保护验收暂行办法》的公告（国环规环评[2017]4号）和河北省环境保护厅《建设项目环境影响评价文件审批及建设单位自主开展环境保护设施验收工作指引（试行）》有关要求，开展相关验收调查工作，本次验收范围为《</w:t>
      </w:r>
      <w:r>
        <w:rPr>
          <w:rFonts w:hint="eastAsia" w:ascii="Times New Roman" w:hAnsi="Times New Roman" w:eastAsia="宋体" w:cs="Times New Roman"/>
          <w:bCs/>
          <w:color w:val="auto"/>
          <w:sz w:val="24"/>
          <w:szCs w:val="24"/>
          <w:highlight w:val="none"/>
          <w:lang w:val="en-US" w:eastAsia="zh-CN"/>
        </w:rPr>
        <w:t>唐山市康泰科技有限公司年产羊肉片机5000台新建项目</w:t>
      </w:r>
      <w:r>
        <w:rPr>
          <w:rFonts w:hint="eastAsia" w:ascii="Times New Roman" w:hAnsi="Times New Roman" w:eastAsia="宋体" w:cs="Times New Roman"/>
          <w:color w:val="auto"/>
          <w:sz w:val="24"/>
          <w:szCs w:val="24"/>
          <w:highlight w:val="none"/>
          <w:lang w:val="en-US" w:eastAsia="zh-CN"/>
        </w:rPr>
        <w:t>环境影响报告书</w:t>
      </w:r>
      <w:r>
        <w:rPr>
          <w:rFonts w:ascii="Times New Roman" w:hAnsi="Times New Roman" w:eastAsia="宋体" w:cs="Times New Roman"/>
          <w:color w:val="auto"/>
          <w:sz w:val="24"/>
          <w:highlight w:val="none"/>
        </w:rPr>
        <w:t>》</w:t>
      </w:r>
      <w:r>
        <w:rPr>
          <w:rFonts w:hint="default" w:ascii="Times New Roman" w:hAnsi="Times New Roman" w:eastAsia="宋体" w:cs="Times New Roman"/>
          <w:color w:val="auto"/>
          <w:sz w:val="24"/>
          <w:szCs w:val="24"/>
          <w:highlight w:val="none"/>
          <w:lang w:val="en-US" w:eastAsia="zh-CN"/>
        </w:rPr>
        <w:t>和批复</w:t>
      </w:r>
      <w:r>
        <w:rPr>
          <w:rFonts w:hint="eastAsia" w:ascii="Times New Roman" w:hAnsi="Times New Roman" w:eastAsia="宋体" w:cs="Times New Roman"/>
          <w:color w:val="auto"/>
          <w:sz w:val="24"/>
          <w:szCs w:val="24"/>
          <w:highlight w:val="none"/>
          <w:lang w:val="en-US" w:eastAsia="zh-CN"/>
        </w:rPr>
        <w:t>的内容</w:t>
      </w:r>
      <w:r>
        <w:rPr>
          <w:rFonts w:hint="default" w:ascii="Times New Roman" w:hAnsi="Times New Roman" w:eastAsia="宋体" w:cs="Times New Roman"/>
          <w:color w:val="auto"/>
          <w:sz w:val="24"/>
          <w:szCs w:val="24"/>
          <w:highlight w:val="none"/>
          <w:lang w:val="en-US" w:eastAsia="zh-CN"/>
        </w:rPr>
        <w:t>，同时委托</w:t>
      </w:r>
      <w:r>
        <w:rPr>
          <w:rFonts w:hint="default" w:ascii="Times New Roman" w:hAnsi="Times New Roman" w:cs="Times New Roman" w:eastAsiaTheme="minorEastAsia"/>
          <w:color w:val="auto"/>
          <w:sz w:val="24"/>
          <w:szCs w:val="24"/>
          <w:highlight w:val="none"/>
          <w:lang w:val="en-US" w:eastAsia="zh-CN"/>
        </w:rPr>
        <w:t>唐山一方检测技术有限公司</w:t>
      </w:r>
      <w:r>
        <w:rPr>
          <w:rFonts w:hint="eastAsia" w:ascii="Times New Roman" w:hAnsi="Times New Roman" w:eastAsia="宋体" w:cs="Times New Roman"/>
          <w:color w:val="auto"/>
          <w:sz w:val="24"/>
          <w:szCs w:val="24"/>
          <w:highlight w:val="none"/>
          <w:lang w:val="en-US" w:eastAsia="zh-CN"/>
        </w:rPr>
        <w:t>于2026年3月23日至24日</w:t>
      </w:r>
      <w:r>
        <w:rPr>
          <w:rFonts w:hint="eastAsia" w:ascii="Times New Roman" w:hAnsi="Times New Roman" w:eastAsia="宋体" w:cs="Times New Roman"/>
          <w:color w:val="auto"/>
          <w:sz w:val="24"/>
          <w:szCs w:val="24"/>
          <w:highlight w:val="none"/>
          <w:lang w:val="en-US" w:eastAsia="zh-CN"/>
        </w:rPr>
        <w:t>进行了检测并出具检测报告，</w:t>
      </w:r>
      <w:r>
        <w:rPr>
          <w:rFonts w:hint="default" w:ascii="Times New Roman" w:hAnsi="Times New Roman" w:eastAsia="宋体" w:cs="Times New Roman"/>
          <w:color w:val="auto"/>
          <w:sz w:val="24"/>
          <w:szCs w:val="24"/>
          <w:highlight w:val="none"/>
          <w:lang w:val="en-US" w:eastAsia="zh-CN"/>
        </w:rPr>
        <w:t>根据现场调查情况和检测报告，按照生态环境部《建设项目竣工环境保护验收技术指南污染影响类》编制完成了《</w:t>
      </w:r>
      <w:r>
        <w:rPr>
          <w:rFonts w:hint="eastAsia" w:ascii="Times New Roman" w:hAnsi="Times New Roman" w:eastAsia="宋体" w:cs="Times New Roman"/>
          <w:bCs/>
          <w:color w:val="auto"/>
          <w:sz w:val="24"/>
          <w:szCs w:val="24"/>
          <w:highlight w:val="none"/>
          <w:lang w:val="en-US" w:eastAsia="zh-CN"/>
        </w:rPr>
        <w:t>唐山市康泰科技有限公司年产羊肉片机5000台新建项目</w:t>
      </w:r>
      <w:r>
        <w:rPr>
          <w:rFonts w:hint="default" w:ascii="Times New Roman" w:hAnsi="Times New Roman" w:eastAsia="宋体" w:cs="Times New Roman"/>
          <w:color w:val="auto"/>
          <w:sz w:val="24"/>
          <w:szCs w:val="24"/>
          <w:highlight w:val="none"/>
          <w:lang w:val="en-US" w:eastAsia="zh-CN"/>
        </w:rPr>
        <w:t>竣工环境保护验收报告》。</w:t>
      </w:r>
    </w:p>
    <w:p w14:paraId="2ACF16D0">
      <w:pPr>
        <w:pStyle w:val="2"/>
        <w:rPr>
          <w:rFonts w:hint="default" w:ascii="Times New Roman" w:hAnsi="Times New Roman" w:eastAsia="宋体" w:cs="Times New Roman"/>
          <w:color w:val="0070C0"/>
          <w:sz w:val="24"/>
          <w:szCs w:val="24"/>
          <w:highlight w:val="none"/>
        </w:rPr>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425" w:num="1"/>
          <w:docGrid w:type="lines" w:linePitch="312" w:charSpace="0"/>
        </w:sectPr>
      </w:pPr>
    </w:p>
    <w:p w14:paraId="3465AF99">
      <w:pPr>
        <w:pStyle w:val="4"/>
        <w:keepNext/>
        <w:keepLines/>
        <w:pageBreakBefore w:val="0"/>
        <w:widowControl w:val="0"/>
        <w:kinsoku/>
        <w:wordWrap/>
        <w:overflowPunct/>
        <w:topLinePunct w:val="0"/>
        <w:autoSpaceDE/>
        <w:autoSpaceDN/>
        <w:bidi w:val="0"/>
        <w:adjustRightInd w:val="0"/>
        <w:snapToGrid w:val="0"/>
        <w:spacing w:line="360" w:lineRule="auto"/>
        <w:textAlignment w:val="auto"/>
        <w:rPr>
          <w:color w:val="000000" w:themeColor="text1"/>
          <w:highlight w:val="none"/>
          <w14:textFill>
            <w14:solidFill>
              <w14:schemeClr w14:val="tx1"/>
            </w14:solidFill>
          </w14:textFill>
        </w:rPr>
      </w:pPr>
      <w:bookmarkStart w:id="2" w:name="_Toc3138"/>
      <w:r>
        <w:rPr>
          <w:color w:val="000000" w:themeColor="text1"/>
          <w:highlight w:val="none"/>
          <w14:textFill>
            <w14:solidFill>
              <w14:schemeClr w14:val="tx1"/>
            </w14:solidFill>
          </w14:textFill>
        </w:rPr>
        <w:t>2验收依据</w:t>
      </w:r>
      <w:bookmarkEnd w:id="2"/>
    </w:p>
    <w:p w14:paraId="69ACB86E">
      <w:pPr>
        <w:pStyle w:val="5"/>
        <w:keepNext/>
        <w:keepLines/>
        <w:pageBreakBefore w:val="0"/>
        <w:widowControl w:val="0"/>
        <w:kinsoku/>
        <w:wordWrap/>
        <w:overflowPunct/>
        <w:topLinePunct w:val="0"/>
        <w:autoSpaceDE/>
        <w:autoSpaceDN/>
        <w:bidi w:val="0"/>
        <w:adjustRightInd w:val="0"/>
        <w:snapToGrid w:val="0"/>
        <w:spacing w:line="360" w:lineRule="auto"/>
        <w:textAlignment w:val="auto"/>
        <w:rPr>
          <w:rFonts w:cs="Times New Roman"/>
          <w:highlight w:val="none"/>
        </w:rPr>
      </w:pPr>
      <w:bookmarkStart w:id="3" w:name="_Toc4440"/>
      <w:r>
        <w:rPr>
          <w:rFonts w:cs="Times New Roman"/>
          <w:highlight w:val="none"/>
        </w:rPr>
        <w:t>2.1建设项目环境保护相关法律、法规和规章制度</w:t>
      </w:r>
      <w:bookmarkEnd w:id="3"/>
    </w:p>
    <w:p w14:paraId="7C78E431">
      <w:pPr>
        <w:keepNext w:val="0"/>
        <w:keepLines w:val="0"/>
        <w:pageBreakBefore w:val="0"/>
        <w:widowControl w:val="0"/>
        <w:kinsoku/>
        <w:wordWrap/>
        <w:overflowPunct/>
        <w:topLinePunct w:val="0"/>
        <w:autoSpaceDE/>
        <w:autoSpaceDN/>
        <w:bidi w:val="0"/>
        <w:adjustRightInd w:val="0"/>
        <w:snapToGrid w:val="0"/>
        <w:spacing w:line="360" w:lineRule="auto"/>
        <w:ind w:left="420" w:leftChars="200"/>
        <w:textAlignment w:val="auto"/>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（1）《中华人民共和国环境保护法》，2015年1月1日；</w:t>
      </w:r>
    </w:p>
    <w:p w14:paraId="6535DAFD">
      <w:pPr>
        <w:keepNext w:val="0"/>
        <w:keepLines w:val="0"/>
        <w:pageBreakBefore w:val="0"/>
        <w:widowControl w:val="0"/>
        <w:kinsoku/>
        <w:wordWrap/>
        <w:overflowPunct/>
        <w:topLinePunct w:val="0"/>
        <w:autoSpaceDE/>
        <w:autoSpaceDN/>
        <w:bidi w:val="0"/>
        <w:adjustRightInd w:val="0"/>
        <w:snapToGrid w:val="0"/>
        <w:spacing w:line="360" w:lineRule="auto"/>
        <w:ind w:left="420" w:leftChars="200"/>
        <w:textAlignment w:val="auto"/>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（2）《中华人民共和国环境影响评价法》，2018年12月29日修订；</w:t>
      </w:r>
    </w:p>
    <w:p w14:paraId="5C2E0E7C">
      <w:pPr>
        <w:keepNext w:val="0"/>
        <w:keepLines w:val="0"/>
        <w:pageBreakBefore w:val="0"/>
        <w:widowControl w:val="0"/>
        <w:kinsoku/>
        <w:wordWrap/>
        <w:overflowPunct/>
        <w:topLinePunct w:val="0"/>
        <w:autoSpaceDE/>
        <w:autoSpaceDN/>
        <w:bidi w:val="0"/>
        <w:adjustRightInd w:val="0"/>
        <w:snapToGrid w:val="0"/>
        <w:spacing w:line="360" w:lineRule="auto"/>
        <w:ind w:left="420" w:leftChars="200"/>
        <w:textAlignment w:val="auto"/>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w:t>
      </w:r>
      <w:r>
        <w:rPr>
          <w:rFonts w:hint="eastAsia" w:ascii="Times New Roman" w:hAnsi="Times New Roman" w:eastAsiaTheme="minorEastAsia"/>
          <w:color w:val="auto"/>
          <w:sz w:val="24"/>
          <w:szCs w:val="24"/>
          <w:highlight w:val="none"/>
          <w:lang w:val="en-US" w:eastAsia="zh-CN"/>
        </w:rPr>
        <w:t>3</w:t>
      </w:r>
      <w:r>
        <w:rPr>
          <w:rFonts w:ascii="Times New Roman" w:hAnsi="Times New Roman" w:eastAsiaTheme="minorEastAsia"/>
          <w:color w:val="auto"/>
          <w:sz w:val="24"/>
          <w:szCs w:val="24"/>
          <w:highlight w:val="none"/>
        </w:rPr>
        <w:t>）《中华人民共和国大气污染防治法》，2018年10月26日修订；</w:t>
      </w:r>
    </w:p>
    <w:p w14:paraId="24AC2499">
      <w:pPr>
        <w:keepNext w:val="0"/>
        <w:keepLines w:val="0"/>
        <w:pageBreakBefore w:val="0"/>
        <w:widowControl w:val="0"/>
        <w:kinsoku/>
        <w:wordWrap/>
        <w:overflowPunct/>
        <w:topLinePunct w:val="0"/>
        <w:autoSpaceDE/>
        <w:autoSpaceDN/>
        <w:bidi w:val="0"/>
        <w:adjustRightInd w:val="0"/>
        <w:snapToGrid w:val="0"/>
        <w:spacing w:line="360" w:lineRule="auto"/>
        <w:ind w:left="420" w:leftChars="200"/>
        <w:textAlignment w:val="auto"/>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w:t>
      </w:r>
      <w:r>
        <w:rPr>
          <w:rFonts w:hint="eastAsia" w:ascii="Times New Roman" w:hAnsi="Times New Roman" w:eastAsiaTheme="minorEastAsia"/>
          <w:color w:val="auto"/>
          <w:sz w:val="24"/>
          <w:szCs w:val="24"/>
          <w:highlight w:val="none"/>
          <w:lang w:val="en-US" w:eastAsia="zh-CN"/>
        </w:rPr>
        <w:t>4</w:t>
      </w:r>
      <w:r>
        <w:rPr>
          <w:rFonts w:ascii="Times New Roman" w:hAnsi="Times New Roman" w:eastAsiaTheme="minorEastAsia"/>
          <w:color w:val="auto"/>
          <w:sz w:val="24"/>
          <w:szCs w:val="24"/>
          <w:highlight w:val="none"/>
        </w:rPr>
        <w:t>）《中华人民共和国环境噪声污染防治法》，2018年12月29日修订；</w:t>
      </w:r>
    </w:p>
    <w:p w14:paraId="4CCB6914">
      <w:pPr>
        <w:keepNext w:val="0"/>
        <w:keepLines w:val="0"/>
        <w:pageBreakBefore w:val="0"/>
        <w:widowControl w:val="0"/>
        <w:kinsoku/>
        <w:wordWrap/>
        <w:overflowPunct/>
        <w:topLinePunct w:val="0"/>
        <w:autoSpaceDE/>
        <w:autoSpaceDN/>
        <w:bidi w:val="0"/>
        <w:adjustRightInd w:val="0"/>
        <w:snapToGrid w:val="0"/>
        <w:spacing w:line="360" w:lineRule="auto"/>
        <w:ind w:left="420" w:leftChars="200"/>
        <w:textAlignment w:val="auto"/>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w:t>
      </w:r>
      <w:r>
        <w:rPr>
          <w:rFonts w:hint="eastAsia" w:ascii="Times New Roman" w:hAnsi="Times New Roman" w:eastAsiaTheme="minorEastAsia"/>
          <w:color w:val="auto"/>
          <w:sz w:val="24"/>
          <w:szCs w:val="24"/>
          <w:highlight w:val="none"/>
          <w:lang w:val="en-US" w:eastAsia="zh-CN"/>
        </w:rPr>
        <w:t>5</w:t>
      </w:r>
      <w:r>
        <w:rPr>
          <w:rFonts w:ascii="Times New Roman" w:hAnsi="Times New Roman" w:eastAsiaTheme="minorEastAsia"/>
          <w:color w:val="auto"/>
          <w:sz w:val="24"/>
          <w:szCs w:val="24"/>
          <w:highlight w:val="none"/>
        </w:rPr>
        <w:t>）《中华人民共和国固体废物污染环境防治法》，2020年4月29日修正；</w:t>
      </w:r>
    </w:p>
    <w:p w14:paraId="08B90070">
      <w:pPr>
        <w:keepNext w:val="0"/>
        <w:keepLines w:val="0"/>
        <w:pageBreakBefore w:val="0"/>
        <w:widowControl w:val="0"/>
        <w:kinsoku/>
        <w:wordWrap/>
        <w:overflowPunct/>
        <w:topLinePunct w:val="0"/>
        <w:autoSpaceDE/>
        <w:autoSpaceDN/>
        <w:bidi w:val="0"/>
        <w:adjustRightInd w:val="0"/>
        <w:snapToGrid w:val="0"/>
        <w:spacing w:line="360" w:lineRule="auto"/>
        <w:ind w:left="420" w:leftChars="200"/>
        <w:textAlignment w:val="auto"/>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w:t>
      </w:r>
      <w:r>
        <w:rPr>
          <w:rFonts w:hint="eastAsia" w:ascii="Times New Roman" w:hAnsi="Times New Roman" w:eastAsiaTheme="minorEastAsia"/>
          <w:color w:val="auto"/>
          <w:sz w:val="24"/>
          <w:szCs w:val="24"/>
          <w:highlight w:val="none"/>
          <w:lang w:val="en-US" w:eastAsia="zh-CN"/>
        </w:rPr>
        <w:t>6</w:t>
      </w:r>
      <w:r>
        <w:rPr>
          <w:rFonts w:ascii="Times New Roman" w:hAnsi="Times New Roman" w:eastAsiaTheme="minorEastAsia"/>
          <w:color w:val="auto"/>
          <w:sz w:val="24"/>
          <w:szCs w:val="24"/>
          <w:highlight w:val="none"/>
        </w:rPr>
        <w:t>）《中华人民共和国环境保护税法》，2018年1月1日；</w:t>
      </w:r>
    </w:p>
    <w:p w14:paraId="330F520A">
      <w:pPr>
        <w:keepNext w:val="0"/>
        <w:keepLines w:val="0"/>
        <w:pageBreakBefore w:val="0"/>
        <w:widowControl w:val="0"/>
        <w:kinsoku/>
        <w:wordWrap/>
        <w:overflowPunct/>
        <w:topLinePunct w:val="0"/>
        <w:autoSpaceDE/>
        <w:autoSpaceDN/>
        <w:bidi w:val="0"/>
        <w:adjustRightInd w:val="0"/>
        <w:snapToGrid w:val="0"/>
        <w:spacing w:line="360" w:lineRule="auto"/>
        <w:ind w:left="420" w:leftChars="200"/>
        <w:textAlignment w:val="auto"/>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w:t>
      </w:r>
      <w:r>
        <w:rPr>
          <w:rFonts w:hint="eastAsia" w:ascii="Times New Roman" w:hAnsi="Times New Roman" w:eastAsiaTheme="minorEastAsia"/>
          <w:color w:val="auto"/>
          <w:sz w:val="24"/>
          <w:szCs w:val="24"/>
          <w:highlight w:val="none"/>
          <w:lang w:val="en-US" w:eastAsia="zh-CN"/>
        </w:rPr>
        <w:t>7</w:t>
      </w:r>
      <w:r>
        <w:rPr>
          <w:rFonts w:ascii="Times New Roman" w:hAnsi="Times New Roman" w:eastAsiaTheme="minorEastAsia"/>
          <w:color w:val="auto"/>
          <w:sz w:val="24"/>
          <w:szCs w:val="24"/>
          <w:highlight w:val="none"/>
        </w:rPr>
        <w:t>）《中华人民共和国土壤污染防治法》，2019年1月1日。</w:t>
      </w:r>
    </w:p>
    <w:p w14:paraId="28F8E8D7">
      <w:pPr>
        <w:keepNext w:val="0"/>
        <w:keepLines w:val="0"/>
        <w:pageBreakBefore w:val="0"/>
        <w:widowControl w:val="0"/>
        <w:kinsoku/>
        <w:wordWrap/>
        <w:overflowPunct/>
        <w:topLinePunct w:val="0"/>
        <w:autoSpaceDE/>
        <w:autoSpaceDN/>
        <w:bidi w:val="0"/>
        <w:adjustRightInd w:val="0"/>
        <w:snapToGrid w:val="0"/>
        <w:spacing w:line="360" w:lineRule="auto"/>
        <w:ind w:left="420" w:leftChars="200"/>
        <w:textAlignment w:val="auto"/>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w:t>
      </w:r>
      <w:r>
        <w:rPr>
          <w:rFonts w:hint="eastAsia" w:ascii="Times New Roman" w:hAnsi="Times New Roman" w:eastAsiaTheme="minorEastAsia"/>
          <w:color w:val="auto"/>
          <w:sz w:val="24"/>
          <w:szCs w:val="24"/>
          <w:highlight w:val="none"/>
          <w:lang w:val="en-US" w:eastAsia="zh-CN"/>
        </w:rPr>
        <w:t>8</w:t>
      </w:r>
      <w:r>
        <w:rPr>
          <w:rFonts w:ascii="Times New Roman" w:hAnsi="Times New Roman" w:eastAsiaTheme="minorEastAsia"/>
          <w:color w:val="auto"/>
          <w:sz w:val="24"/>
          <w:szCs w:val="24"/>
          <w:highlight w:val="none"/>
        </w:rPr>
        <w:t>）《中华人民共和国土地管理法》，2004年8月28日；</w:t>
      </w:r>
    </w:p>
    <w:p w14:paraId="66963EF0">
      <w:pPr>
        <w:keepNext w:val="0"/>
        <w:keepLines w:val="0"/>
        <w:pageBreakBefore w:val="0"/>
        <w:widowControl w:val="0"/>
        <w:kinsoku/>
        <w:wordWrap/>
        <w:overflowPunct/>
        <w:topLinePunct w:val="0"/>
        <w:autoSpaceDE/>
        <w:autoSpaceDN/>
        <w:bidi w:val="0"/>
        <w:adjustRightInd w:val="0"/>
        <w:snapToGrid w:val="0"/>
        <w:spacing w:line="360" w:lineRule="auto"/>
        <w:ind w:left="420" w:leftChars="200"/>
        <w:textAlignment w:val="auto"/>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w:t>
      </w:r>
      <w:r>
        <w:rPr>
          <w:rFonts w:hint="eastAsia" w:ascii="Times New Roman" w:hAnsi="Times New Roman" w:eastAsiaTheme="minorEastAsia"/>
          <w:color w:val="auto"/>
          <w:sz w:val="24"/>
          <w:szCs w:val="24"/>
          <w:highlight w:val="none"/>
          <w:lang w:val="en-US" w:eastAsia="zh-CN"/>
        </w:rPr>
        <w:t>9</w:t>
      </w:r>
      <w:r>
        <w:rPr>
          <w:rFonts w:ascii="Times New Roman" w:hAnsi="Times New Roman" w:eastAsiaTheme="minorEastAsia"/>
          <w:color w:val="auto"/>
          <w:sz w:val="24"/>
          <w:szCs w:val="24"/>
          <w:highlight w:val="none"/>
        </w:rPr>
        <w:t>）《中华人民共和国城乡规划法》，2015年4月24日修订；</w:t>
      </w:r>
    </w:p>
    <w:p w14:paraId="28989E6A">
      <w:pPr>
        <w:keepNext w:val="0"/>
        <w:keepLines w:val="0"/>
        <w:pageBreakBefore w:val="0"/>
        <w:widowControl w:val="0"/>
        <w:kinsoku/>
        <w:wordWrap/>
        <w:overflowPunct/>
        <w:topLinePunct w:val="0"/>
        <w:autoSpaceDE/>
        <w:autoSpaceDN/>
        <w:bidi w:val="0"/>
        <w:adjustRightInd w:val="0"/>
        <w:snapToGrid w:val="0"/>
        <w:spacing w:line="360" w:lineRule="auto"/>
        <w:ind w:left="420" w:leftChars="200"/>
        <w:textAlignment w:val="auto"/>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（1</w:t>
      </w:r>
      <w:r>
        <w:rPr>
          <w:rFonts w:hint="eastAsia" w:ascii="Times New Roman" w:hAnsi="Times New Roman" w:eastAsiaTheme="minorEastAsia"/>
          <w:color w:val="auto"/>
          <w:sz w:val="24"/>
          <w:szCs w:val="24"/>
          <w:highlight w:val="none"/>
          <w:lang w:val="en-US" w:eastAsia="zh-CN"/>
        </w:rPr>
        <w:t>0</w:t>
      </w:r>
      <w:r>
        <w:rPr>
          <w:rFonts w:ascii="Times New Roman" w:hAnsi="Times New Roman" w:eastAsiaTheme="minorEastAsia"/>
          <w:color w:val="auto"/>
          <w:sz w:val="24"/>
          <w:szCs w:val="24"/>
          <w:highlight w:val="none"/>
        </w:rPr>
        <w:t>）《建设项目环境保护管理条例》，2017年10月1日；</w:t>
      </w:r>
    </w:p>
    <w:p w14:paraId="072F1616">
      <w:pPr>
        <w:keepNext w:val="0"/>
        <w:keepLines w:val="0"/>
        <w:pageBreakBefore w:val="0"/>
        <w:widowControl w:val="0"/>
        <w:kinsoku/>
        <w:wordWrap/>
        <w:overflowPunct/>
        <w:topLinePunct w:val="0"/>
        <w:autoSpaceDE/>
        <w:autoSpaceDN/>
        <w:bidi w:val="0"/>
        <w:adjustRightInd w:val="0"/>
        <w:snapToGrid w:val="0"/>
        <w:spacing w:line="360" w:lineRule="auto"/>
        <w:ind w:left="420" w:leftChars="200"/>
        <w:textAlignment w:val="auto"/>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（1</w:t>
      </w:r>
      <w:r>
        <w:rPr>
          <w:rFonts w:hint="eastAsia" w:ascii="Times New Roman" w:hAnsi="Times New Roman" w:eastAsiaTheme="minorEastAsia"/>
          <w:color w:val="auto"/>
          <w:sz w:val="24"/>
          <w:szCs w:val="24"/>
          <w:highlight w:val="none"/>
          <w:lang w:val="en-US" w:eastAsia="zh-CN"/>
        </w:rPr>
        <w:t>1</w:t>
      </w:r>
      <w:r>
        <w:rPr>
          <w:rFonts w:ascii="Times New Roman" w:hAnsi="Times New Roman" w:eastAsiaTheme="minorEastAsia"/>
          <w:color w:val="auto"/>
          <w:sz w:val="24"/>
          <w:szCs w:val="24"/>
          <w:highlight w:val="none"/>
        </w:rPr>
        <w:t>）《建设项目环境影响评价分类管理名录》，20</w:t>
      </w:r>
      <w:r>
        <w:rPr>
          <w:rFonts w:hint="eastAsia" w:ascii="Times New Roman" w:hAnsi="Times New Roman" w:eastAsiaTheme="minorEastAsia"/>
          <w:color w:val="auto"/>
          <w:sz w:val="24"/>
          <w:szCs w:val="24"/>
          <w:highlight w:val="none"/>
          <w:lang w:val="en-US" w:eastAsia="zh-CN"/>
        </w:rPr>
        <w:t>21</w:t>
      </w:r>
      <w:r>
        <w:rPr>
          <w:rFonts w:ascii="Times New Roman" w:hAnsi="Times New Roman" w:eastAsiaTheme="minorEastAsia"/>
          <w:color w:val="auto"/>
          <w:sz w:val="24"/>
          <w:szCs w:val="24"/>
          <w:highlight w:val="none"/>
        </w:rPr>
        <w:t>年</w:t>
      </w:r>
      <w:r>
        <w:rPr>
          <w:rFonts w:hint="eastAsia" w:ascii="Times New Roman" w:hAnsi="Times New Roman" w:eastAsiaTheme="minorEastAsia"/>
          <w:color w:val="auto"/>
          <w:sz w:val="24"/>
          <w:szCs w:val="24"/>
          <w:highlight w:val="none"/>
          <w:lang w:val="en-US" w:eastAsia="zh-CN"/>
        </w:rPr>
        <w:t>1月1日</w:t>
      </w:r>
      <w:r>
        <w:rPr>
          <w:rFonts w:ascii="Times New Roman" w:hAnsi="Times New Roman" w:eastAsiaTheme="minorEastAsia"/>
          <w:color w:val="auto"/>
          <w:sz w:val="24"/>
          <w:szCs w:val="24"/>
          <w:highlight w:val="none"/>
        </w:rPr>
        <w:t>；</w:t>
      </w:r>
    </w:p>
    <w:p w14:paraId="7F754934">
      <w:pPr>
        <w:keepNext w:val="0"/>
        <w:keepLines w:val="0"/>
        <w:pageBreakBefore w:val="0"/>
        <w:widowControl w:val="0"/>
        <w:kinsoku/>
        <w:wordWrap/>
        <w:overflowPunct/>
        <w:topLinePunct w:val="0"/>
        <w:autoSpaceDE/>
        <w:autoSpaceDN/>
        <w:bidi w:val="0"/>
        <w:adjustRightInd w:val="0"/>
        <w:snapToGrid w:val="0"/>
        <w:spacing w:line="360" w:lineRule="auto"/>
        <w:ind w:left="420" w:leftChars="200"/>
        <w:textAlignment w:val="auto"/>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（1</w:t>
      </w:r>
      <w:r>
        <w:rPr>
          <w:rFonts w:hint="eastAsia" w:ascii="Times New Roman" w:hAnsi="Times New Roman" w:eastAsiaTheme="minorEastAsia"/>
          <w:color w:val="auto"/>
          <w:sz w:val="24"/>
          <w:szCs w:val="24"/>
          <w:highlight w:val="none"/>
          <w:lang w:val="en-US" w:eastAsia="zh-CN"/>
        </w:rPr>
        <w:t>2</w:t>
      </w:r>
      <w:r>
        <w:rPr>
          <w:rFonts w:ascii="Times New Roman" w:hAnsi="Times New Roman" w:eastAsiaTheme="minorEastAsia"/>
          <w:color w:val="auto"/>
          <w:sz w:val="24"/>
          <w:szCs w:val="24"/>
          <w:highlight w:val="none"/>
        </w:rPr>
        <w:t>）《河北省生态环境保护条例》，2020年7月1日。</w:t>
      </w:r>
    </w:p>
    <w:p w14:paraId="6D625BD1">
      <w:pPr>
        <w:pStyle w:val="5"/>
        <w:keepNext/>
        <w:keepLines/>
        <w:pageBreakBefore w:val="0"/>
        <w:widowControl w:val="0"/>
        <w:kinsoku/>
        <w:wordWrap/>
        <w:overflowPunct/>
        <w:topLinePunct w:val="0"/>
        <w:autoSpaceDE/>
        <w:autoSpaceDN/>
        <w:bidi w:val="0"/>
        <w:adjustRightInd w:val="0"/>
        <w:snapToGrid w:val="0"/>
        <w:spacing w:line="360" w:lineRule="auto"/>
        <w:textAlignment w:val="auto"/>
        <w:rPr>
          <w:rFonts w:cs="Times New Roman"/>
          <w:color w:val="000000" w:themeColor="text1"/>
          <w:highlight w:val="none"/>
          <w14:textFill>
            <w14:solidFill>
              <w14:schemeClr w14:val="tx1"/>
            </w14:solidFill>
          </w14:textFill>
        </w:rPr>
      </w:pPr>
      <w:bookmarkStart w:id="4" w:name="_Toc6407"/>
      <w:r>
        <w:rPr>
          <w:rFonts w:cs="Times New Roman"/>
          <w:color w:val="000000" w:themeColor="text1"/>
          <w:highlight w:val="none"/>
          <w14:textFill>
            <w14:solidFill>
              <w14:schemeClr w14:val="tx1"/>
            </w14:solidFill>
          </w14:textFill>
        </w:rPr>
        <w:t>2.2建设项目竣工环境保护验收技术规范</w:t>
      </w:r>
      <w:bookmarkEnd w:id="4"/>
    </w:p>
    <w:p w14:paraId="7B95E1F6">
      <w:pPr>
        <w:adjustRightInd w:val="0"/>
        <w:snapToGrid w:val="0"/>
        <w:spacing w:line="360" w:lineRule="auto"/>
        <w:ind w:left="420" w:leftChars="200"/>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（1）《建设项目环境影响评价技术导则 总纲》（HJ2.1-2016）；</w:t>
      </w:r>
    </w:p>
    <w:p w14:paraId="1E39E201">
      <w:pPr>
        <w:adjustRightInd w:val="0"/>
        <w:snapToGrid w:val="0"/>
        <w:spacing w:line="360" w:lineRule="auto"/>
        <w:ind w:left="420" w:leftChars="200"/>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（2）《环境影响评价技术导则 大气环境》（HJ2.2-2018）；</w:t>
      </w:r>
    </w:p>
    <w:p w14:paraId="42C45455">
      <w:pPr>
        <w:adjustRightInd w:val="0"/>
        <w:snapToGrid w:val="0"/>
        <w:spacing w:line="360" w:lineRule="auto"/>
        <w:ind w:left="420" w:leftChars="200"/>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w:t>
      </w:r>
      <w:r>
        <w:rPr>
          <w:rFonts w:hint="eastAsia" w:ascii="Times New Roman" w:hAnsi="Times New Roman" w:cs="Times New Roman" w:eastAsiaTheme="minorEastAsia"/>
          <w:color w:val="auto"/>
          <w:sz w:val="24"/>
          <w:szCs w:val="24"/>
          <w:highlight w:val="none"/>
          <w:lang w:val="en-US" w:eastAsia="zh-CN"/>
        </w:rPr>
        <w:t>3</w:t>
      </w:r>
      <w:r>
        <w:rPr>
          <w:rFonts w:hint="default" w:ascii="Times New Roman" w:hAnsi="Times New Roman" w:cs="Times New Roman" w:eastAsiaTheme="minorEastAsia"/>
          <w:color w:val="auto"/>
          <w:sz w:val="24"/>
          <w:szCs w:val="24"/>
          <w:highlight w:val="none"/>
        </w:rPr>
        <w:t>）《环境影响评价技术导则 声环境》（HJ2.4-20</w:t>
      </w:r>
      <w:r>
        <w:rPr>
          <w:rFonts w:hint="eastAsia" w:ascii="Times New Roman" w:hAnsi="Times New Roman" w:cs="Times New Roman" w:eastAsiaTheme="minorEastAsia"/>
          <w:color w:val="auto"/>
          <w:sz w:val="24"/>
          <w:szCs w:val="24"/>
          <w:highlight w:val="none"/>
          <w:lang w:val="en-US" w:eastAsia="zh-CN"/>
        </w:rPr>
        <w:t>21</w:t>
      </w:r>
      <w:r>
        <w:rPr>
          <w:rFonts w:hint="default" w:ascii="Times New Roman" w:hAnsi="Times New Roman" w:cs="Times New Roman" w:eastAsiaTheme="minorEastAsia"/>
          <w:color w:val="auto"/>
          <w:sz w:val="24"/>
          <w:szCs w:val="24"/>
          <w:highlight w:val="none"/>
        </w:rPr>
        <w:t>）；</w:t>
      </w:r>
    </w:p>
    <w:p w14:paraId="0B2A9560">
      <w:pPr>
        <w:adjustRightInd w:val="0"/>
        <w:snapToGrid w:val="0"/>
        <w:spacing w:line="360" w:lineRule="auto"/>
        <w:ind w:left="420" w:leftChars="200"/>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w:t>
      </w:r>
      <w:r>
        <w:rPr>
          <w:rFonts w:hint="eastAsia" w:ascii="Times New Roman" w:hAnsi="Times New Roman" w:cs="Times New Roman" w:eastAsiaTheme="minorEastAsia"/>
          <w:color w:val="auto"/>
          <w:sz w:val="24"/>
          <w:szCs w:val="24"/>
          <w:highlight w:val="none"/>
          <w:lang w:val="en-US" w:eastAsia="zh-CN"/>
        </w:rPr>
        <w:t>4</w:t>
      </w:r>
      <w:r>
        <w:rPr>
          <w:rFonts w:hint="default" w:ascii="Times New Roman" w:hAnsi="Times New Roman" w:cs="Times New Roman" w:eastAsiaTheme="minorEastAsia"/>
          <w:color w:val="auto"/>
          <w:sz w:val="24"/>
          <w:szCs w:val="24"/>
          <w:highlight w:val="none"/>
        </w:rPr>
        <w:t>）《环境影响评价技术导则 生态影响》（HJ19-20</w:t>
      </w:r>
      <w:r>
        <w:rPr>
          <w:rFonts w:hint="eastAsia" w:ascii="Times New Roman" w:hAnsi="Times New Roman" w:cs="Times New Roman" w:eastAsiaTheme="minorEastAsia"/>
          <w:color w:val="auto"/>
          <w:sz w:val="24"/>
          <w:szCs w:val="24"/>
          <w:highlight w:val="none"/>
          <w:lang w:val="en-US" w:eastAsia="zh-CN"/>
        </w:rPr>
        <w:t>22</w:t>
      </w:r>
      <w:r>
        <w:rPr>
          <w:rFonts w:hint="default" w:ascii="Times New Roman" w:hAnsi="Times New Roman" w:cs="Times New Roman" w:eastAsiaTheme="minorEastAsia"/>
          <w:color w:val="auto"/>
          <w:sz w:val="24"/>
          <w:szCs w:val="24"/>
          <w:highlight w:val="none"/>
        </w:rPr>
        <w:t>）；</w:t>
      </w:r>
    </w:p>
    <w:p w14:paraId="26966304">
      <w:pPr>
        <w:adjustRightInd w:val="0"/>
        <w:snapToGrid w:val="0"/>
        <w:spacing w:line="360" w:lineRule="auto"/>
        <w:ind w:left="420" w:leftChars="200"/>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w:t>
      </w:r>
      <w:r>
        <w:rPr>
          <w:rFonts w:hint="eastAsia" w:ascii="Times New Roman" w:hAnsi="Times New Roman" w:cs="Times New Roman" w:eastAsiaTheme="minorEastAsia"/>
          <w:color w:val="auto"/>
          <w:sz w:val="24"/>
          <w:szCs w:val="24"/>
          <w:highlight w:val="none"/>
          <w:lang w:val="en-US" w:eastAsia="zh-CN"/>
        </w:rPr>
        <w:t>5</w:t>
      </w:r>
      <w:r>
        <w:rPr>
          <w:rFonts w:hint="default" w:ascii="Times New Roman" w:hAnsi="Times New Roman" w:cs="Times New Roman" w:eastAsiaTheme="minorEastAsia"/>
          <w:color w:val="auto"/>
          <w:sz w:val="24"/>
          <w:szCs w:val="24"/>
          <w:highlight w:val="none"/>
        </w:rPr>
        <w:t>）《环境空气质量标准》（GB3095-20</w:t>
      </w:r>
      <w:r>
        <w:rPr>
          <w:rFonts w:hint="eastAsia" w:ascii="Times New Roman" w:hAnsi="Times New Roman" w:cs="Times New Roman" w:eastAsiaTheme="minorEastAsia"/>
          <w:color w:val="auto"/>
          <w:sz w:val="24"/>
          <w:szCs w:val="24"/>
          <w:highlight w:val="none"/>
          <w:lang w:val="en-US" w:eastAsia="zh-CN"/>
        </w:rPr>
        <w:t>26</w:t>
      </w:r>
      <w:r>
        <w:rPr>
          <w:rFonts w:hint="default" w:ascii="Times New Roman" w:hAnsi="Times New Roman" w:cs="Times New Roman" w:eastAsiaTheme="minorEastAsia"/>
          <w:color w:val="auto"/>
          <w:sz w:val="24"/>
          <w:szCs w:val="24"/>
          <w:highlight w:val="none"/>
        </w:rPr>
        <w:t>）；</w:t>
      </w:r>
    </w:p>
    <w:p w14:paraId="3CB63EE7">
      <w:pPr>
        <w:adjustRightInd w:val="0"/>
        <w:snapToGrid w:val="0"/>
        <w:spacing w:line="360" w:lineRule="auto"/>
        <w:ind w:left="420" w:leftChars="200"/>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w:t>
      </w:r>
      <w:r>
        <w:rPr>
          <w:rFonts w:hint="eastAsia" w:ascii="Times New Roman" w:hAnsi="Times New Roman" w:cs="Times New Roman" w:eastAsiaTheme="minorEastAsia"/>
          <w:color w:val="auto"/>
          <w:sz w:val="24"/>
          <w:szCs w:val="24"/>
          <w:highlight w:val="none"/>
          <w:lang w:val="en-US" w:eastAsia="zh-CN"/>
        </w:rPr>
        <w:t>6</w:t>
      </w:r>
      <w:r>
        <w:rPr>
          <w:rFonts w:hint="default" w:ascii="Times New Roman" w:hAnsi="Times New Roman" w:cs="Times New Roman" w:eastAsiaTheme="minorEastAsia"/>
          <w:color w:val="auto"/>
          <w:sz w:val="24"/>
          <w:szCs w:val="24"/>
          <w:highlight w:val="none"/>
        </w:rPr>
        <w:t>）《声环境质量标准》（GB3096-2008）；</w:t>
      </w:r>
    </w:p>
    <w:p w14:paraId="3FE57208">
      <w:pPr>
        <w:adjustRightInd w:val="0"/>
        <w:snapToGrid w:val="0"/>
        <w:spacing w:line="360" w:lineRule="auto"/>
        <w:ind w:left="420" w:leftChars="200"/>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w:t>
      </w:r>
      <w:r>
        <w:rPr>
          <w:rFonts w:hint="eastAsia" w:ascii="Times New Roman" w:hAnsi="Times New Roman" w:cs="Times New Roman" w:eastAsiaTheme="minorEastAsia"/>
          <w:color w:val="auto"/>
          <w:sz w:val="24"/>
          <w:szCs w:val="24"/>
          <w:highlight w:val="none"/>
          <w:lang w:val="en-US" w:eastAsia="zh-CN"/>
        </w:rPr>
        <w:t>7</w:t>
      </w:r>
      <w:r>
        <w:rPr>
          <w:rFonts w:hint="default" w:ascii="Times New Roman" w:hAnsi="Times New Roman" w:cs="Times New Roman" w:eastAsiaTheme="minorEastAsia"/>
          <w:color w:val="auto"/>
          <w:sz w:val="24"/>
          <w:szCs w:val="24"/>
          <w:highlight w:val="none"/>
        </w:rPr>
        <w:t>）《工业企业厂界环境噪声排放标准》（GB12348-2008）；</w:t>
      </w:r>
    </w:p>
    <w:p w14:paraId="0EBFDA95">
      <w:pPr>
        <w:adjustRightInd w:val="0"/>
        <w:snapToGrid w:val="0"/>
        <w:spacing w:line="360" w:lineRule="auto"/>
        <w:ind w:left="420" w:leftChars="200"/>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w:t>
      </w:r>
      <w:r>
        <w:rPr>
          <w:rFonts w:hint="eastAsia" w:ascii="Times New Roman" w:hAnsi="Times New Roman" w:cs="Times New Roman" w:eastAsiaTheme="minorEastAsia"/>
          <w:color w:val="auto"/>
          <w:sz w:val="24"/>
          <w:szCs w:val="24"/>
          <w:highlight w:val="none"/>
          <w:lang w:val="en-US" w:eastAsia="zh-CN"/>
        </w:rPr>
        <w:t>8</w:t>
      </w:r>
      <w:r>
        <w:rPr>
          <w:rFonts w:hint="default" w:ascii="Times New Roman" w:hAnsi="Times New Roman" w:cs="Times New Roman" w:eastAsiaTheme="minorEastAsia"/>
          <w:color w:val="auto"/>
          <w:sz w:val="24"/>
          <w:szCs w:val="24"/>
          <w:highlight w:val="none"/>
        </w:rPr>
        <w:t>）《一般工业固体废物贮存</w:t>
      </w:r>
      <w:r>
        <w:rPr>
          <w:rFonts w:hint="eastAsia" w:ascii="Times New Roman" w:hAnsi="Times New Roman" w:cs="Times New Roman" w:eastAsiaTheme="minorEastAsia"/>
          <w:color w:val="auto"/>
          <w:sz w:val="24"/>
          <w:szCs w:val="24"/>
          <w:highlight w:val="none"/>
          <w:lang w:val="en-US" w:eastAsia="zh-CN"/>
        </w:rPr>
        <w:t>和填埋污染</w:t>
      </w:r>
      <w:r>
        <w:rPr>
          <w:rFonts w:hint="default" w:ascii="Times New Roman" w:hAnsi="Times New Roman" w:cs="Times New Roman" w:eastAsiaTheme="minorEastAsia"/>
          <w:color w:val="auto"/>
          <w:sz w:val="24"/>
          <w:szCs w:val="24"/>
          <w:highlight w:val="none"/>
        </w:rPr>
        <w:t>控制标准》（GB18599-20</w:t>
      </w:r>
      <w:r>
        <w:rPr>
          <w:rFonts w:hint="eastAsia" w:ascii="Times New Roman" w:hAnsi="Times New Roman" w:cs="Times New Roman" w:eastAsiaTheme="minorEastAsia"/>
          <w:color w:val="auto"/>
          <w:sz w:val="24"/>
          <w:szCs w:val="24"/>
          <w:highlight w:val="none"/>
          <w:lang w:val="en-US" w:eastAsia="zh-CN"/>
        </w:rPr>
        <w:t>20</w:t>
      </w:r>
      <w:r>
        <w:rPr>
          <w:rFonts w:hint="default" w:ascii="Times New Roman" w:hAnsi="Times New Roman" w:cs="Times New Roman" w:eastAsiaTheme="minorEastAsia"/>
          <w:color w:val="auto"/>
          <w:sz w:val="24"/>
          <w:szCs w:val="24"/>
          <w:highlight w:val="none"/>
        </w:rPr>
        <w:t>）；</w:t>
      </w:r>
    </w:p>
    <w:p w14:paraId="619D77C9">
      <w:pPr>
        <w:adjustRightInd w:val="0"/>
        <w:snapToGrid w:val="0"/>
        <w:spacing w:line="360" w:lineRule="auto"/>
        <w:ind w:left="420" w:leftChars="200"/>
        <w:rPr>
          <w:rFonts w:hint="default"/>
          <w:highlight w:val="none"/>
        </w:rPr>
      </w:pPr>
      <w:r>
        <w:rPr>
          <w:rFonts w:hint="default" w:ascii="Times New Roman" w:hAnsi="Times New Roman" w:cs="Times New Roman" w:eastAsiaTheme="minorEastAsia"/>
          <w:color w:val="auto"/>
          <w:sz w:val="24"/>
          <w:szCs w:val="24"/>
          <w:highlight w:val="none"/>
        </w:rPr>
        <w:t>（</w:t>
      </w:r>
      <w:r>
        <w:rPr>
          <w:rFonts w:hint="eastAsia" w:ascii="Times New Roman" w:hAnsi="Times New Roman" w:cs="Times New Roman" w:eastAsiaTheme="minorEastAsia"/>
          <w:color w:val="auto"/>
          <w:sz w:val="24"/>
          <w:szCs w:val="24"/>
          <w:highlight w:val="none"/>
          <w:lang w:val="en-US" w:eastAsia="zh-CN"/>
        </w:rPr>
        <w:t>9</w:t>
      </w:r>
      <w:r>
        <w:rPr>
          <w:rFonts w:hint="default" w:ascii="Times New Roman" w:hAnsi="Times New Roman" w:cs="Times New Roman" w:eastAsiaTheme="minorEastAsia"/>
          <w:color w:val="auto"/>
          <w:sz w:val="24"/>
          <w:szCs w:val="24"/>
          <w:highlight w:val="none"/>
        </w:rPr>
        <w:t>）《危险废物贮存污染控制标准》（GB18597-2023）；</w:t>
      </w:r>
    </w:p>
    <w:p w14:paraId="65B74DFD">
      <w:pPr>
        <w:adjustRightInd w:val="0"/>
        <w:snapToGrid w:val="0"/>
        <w:spacing w:line="360" w:lineRule="auto"/>
        <w:ind w:firstLine="480" w:firstLineChars="200"/>
        <w:jc w:val="lef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w:t>
      </w:r>
      <w:r>
        <w:rPr>
          <w:rFonts w:hint="eastAsia" w:ascii="Times New Roman" w:hAnsi="Times New Roman" w:cs="Times New Roman" w:eastAsiaTheme="minorEastAsia"/>
          <w:color w:val="auto"/>
          <w:sz w:val="24"/>
          <w:szCs w:val="24"/>
          <w:highlight w:val="none"/>
          <w:lang w:val="en-US" w:eastAsia="zh-CN"/>
        </w:rPr>
        <w:t>10</w:t>
      </w:r>
      <w:r>
        <w:rPr>
          <w:rFonts w:hint="default" w:ascii="Times New Roman" w:hAnsi="Times New Roman" w:cs="Times New Roman" w:eastAsiaTheme="minorEastAsia"/>
          <w:color w:val="auto"/>
          <w:sz w:val="24"/>
          <w:szCs w:val="24"/>
          <w:highlight w:val="none"/>
        </w:rPr>
        <w:t>）《关于印发环评管理中部分行业建设项目重大变动清单的通知》（环境保护部，环办[2015]52号）；</w:t>
      </w:r>
    </w:p>
    <w:p w14:paraId="61E628AA">
      <w:pPr>
        <w:adjustRightInd w:val="0"/>
        <w:snapToGrid w:val="0"/>
        <w:spacing w:line="360" w:lineRule="auto"/>
        <w:ind w:firstLine="480" w:firstLineChars="200"/>
        <w:jc w:val="lef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w:t>
      </w:r>
      <w:r>
        <w:rPr>
          <w:rFonts w:hint="eastAsia" w:ascii="Times New Roman" w:hAnsi="Times New Roman" w:cs="Times New Roman" w:eastAsiaTheme="minorEastAsia"/>
          <w:color w:val="auto"/>
          <w:sz w:val="24"/>
          <w:szCs w:val="24"/>
          <w:highlight w:val="none"/>
          <w:lang w:val="en-US" w:eastAsia="zh-CN"/>
        </w:rPr>
        <w:t>11</w:t>
      </w:r>
      <w:r>
        <w:rPr>
          <w:rFonts w:hint="default" w:ascii="Times New Roman" w:hAnsi="Times New Roman" w:cs="Times New Roman" w:eastAsiaTheme="minorEastAsia"/>
          <w:color w:val="auto"/>
          <w:sz w:val="24"/>
          <w:szCs w:val="24"/>
          <w:highlight w:val="none"/>
        </w:rPr>
        <w:t>）《关于规范建设单位自主开展建设项目竣工环境保护验收的通知（征求意见稿）》，环办环评函[2017]1235号，2017年8月3日；</w:t>
      </w:r>
    </w:p>
    <w:p w14:paraId="16A9AB58">
      <w:pPr>
        <w:adjustRightInd w:val="0"/>
        <w:snapToGrid w:val="0"/>
        <w:spacing w:line="360" w:lineRule="auto"/>
        <w:ind w:firstLine="480" w:firstLineChars="200"/>
        <w:jc w:val="lef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w:t>
      </w:r>
      <w:r>
        <w:rPr>
          <w:rFonts w:hint="eastAsia" w:ascii="Times New Roman" w:hAnsi="Times New Roman" w:cs="Times New Roman" w:eastAsiaTheme="minorEastAsia"/>
          <w:color w:val="auto"/>
          <w:sz w:val="24"/>
          <w:szCs w:val="24"/>
          <w:highlight w:val="none"/>
        </w:rPr>
        <w:t>1</w:t>
      </w:r>
      <w:r>
        <w:rPr>
          <w:rFonts w:hint="eastAsia" w:ascii="Times New Roman" w:hAnsi="Times New Roman" w:cs="Times New Roman" w:eastAsiaTheme="minorEastAsia"/>
          <w:color w:val="auto"/>
          <w:sz w:val="24"/>
          <w:szCs w:val="24"/>
          <w:highlight w:val="none"/>
          <w:lang w:val="en-US" w:eastAsia="zh-CN"/>
        </w:rPr>
        <w:t>2</w:t>
      </w:r>
      <w:r>
        <w:rPr>
          <w:rFonts w:hint="default" w:ascii="Times New Roman" w:hAnsi="Times New Roman" w:cs="Times New Roman" w:eastAsiaTheme="minorEastAsia"/>
          <w:color w:val="auto"/>
          <w:sz w:val="24"/>
          <w:szCs w:val="24"/>
          <w:highlight w:val="none"/>
        </w:rPr>
        <w:t>）《建设项目竣工环境保护验收暂行办法》，国环规环评[2017]4号，2017年11月20日；</w:t>
      </w:r>
    </w:p>
    <w:p w14:paraId="249FD1BD">
      <w:pPr>
        <w:adjustRightInd w:val="0"/>
        <w:snapToGrid w:val="0"/>
        <w:spacing w:line="360" w:lineRule="auto"/>
        <w:ind w:firstLine="480" w:firstLineChars="200"/>
        <w:jc w:val="lef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w:t>
      </w:r>
      <w:r>
        <w:rPr>
          <w:rFonts w:hint="eastAsia" w:ascii="Times New Roman" w:hAnsi="Times New Roman" w:cs="Times New Roman" w:eastAsiaTheme="minorEastAsia"/>
          <w:color w:val="auto"/>
          <w:sz w:val="24"/>
          <w:szCs w:val="24"/>
          <w:highlight w:val="none"/>
        </w:rPr>
        <w:t>1</w:t>
      </w:r>
      <w:r>
        <w:rPr>
          <w:rFonts w:hint="eastAsia" w:ascii="Times New Roman" w:hAnsi="Times New Roman" w:cs="Times New Roman" w:eastAsiaTheme="minorEastAsia"/>
          <w:color w:val="auto"/>
          <w:sz w:val="24"/>
          <w:szCs w:val="24"/>
          <w:highlight w:val="none"/>
          <w:lang w:val="en-US" w:eastAsia="zh-CN"/>
        </w:rPr>
        <w:t>3</w:t>
      </w:r>
      <w:r>
        <w:rPr>
          <w:rFonts w:hint="default" w:ascii="Times New Roman" w:hAnsi="Times New Roman" w:cs="Times New Roman" w:eastAsiaTheme="minorEastAsia"/>
          <w:color w:val="auto"/>
          <w:sz w:val="24"/>
          <w:szCs w:val="24"/>
          <w:highlight w:val="none"/>
        </w:rPr>
        <w:t>）《建设项目环境影响评价文件审批及建设单位自主开展环境保护设施验收工作指引（试行）》，冀环办字函[2017]727号，2017年11月23日；</w:t>
      </w:r>
    </w:p>
    <w:p w14:paraId="41581825">
      <w:pPr>
        <w:adjustRightInd w:val="0"/>
        <w:snapToGrid w:val="0"/>
        <w:spacing w:line="360" w:lineRule="auto"/>
        <w:ind w:firstLine="480" w:firstLineChars="200"/>
        <w:jc w:val="lef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w:t>
      </w:r>
      <w:r>
        <w:rPr>
          <w:rFonts w:hint="eastAsia" w:ascii="Times New Roman" w:hAnsi="Times New Roman" w:cs="Times New Roman" w:eastAsiaTheme="minorEastAsia"/>
          <w:color w:val="auto"/>
          <w:sz w:val="24"/>
          <w:szCs w:val="24"/>
          <w:highlight w:val="none"/>
        </w:rPr>
        <w:t>1</w:t>
      </w:r>
      <w:r>
        <w:rPr>
          <w:rFonts w:hint="eastAsia" w:ascii="Times New Roman" w:hAnsi="Times New Roman" w:cs="Times New Roman" w:eastAsiaTheme="minorEastAsia"/>
          <w:color w:val="auto"/>
          <w:sz w:val="24"/>
          <w:szCs w:val="24"/>
          <w:highlight w:val="none"/>
          <w:lang w:val="en-US" w:eastAsia="zh-CN"/>
        </w:rPr>
        <w:t>4</w:t>
      </w:r>
      <w:r>
        <w:rPr>
          <w:rFonts w:hint="default" w:ascii="Times New Roman" w:hAnsi="Times New Roman" w:cs="Times New Roman" w:eastAsiaTheme="minorEastAsia"/>
          <w:color w:val="auto"/>
          <w:sz w:val="24"/>
          <w:szCs w:val="24"/>
          <w:highlight w:val="none"/>
        </w:rPr>
        <w:t>）《建设项目竣工环境保护验收技术指南 污染影响类》（生态环境部公告2018年第9号）；</w:t>
      </w:r>
    </w:p>
    <w:p w14:paraId="2B7BB658">
      <w:pPr>
        <w:adjustRightInd w:val="0"/>
        <w:snapToGrid w:val="0"/>
        <w:spacing w:line="360" w:lineRule="auto"/>
        <w:ind w:firstLine="480" w:firstLineChars="200"/>
        <w:jc w:val="left"/>
        <w:rPr>
          <w:rFonts w:hint="eastAsia"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w:t>
      </w:r>
      <w:r>
        <w:rPr>
          <w:rFonts w:hint="eastAsia" w:ascii="Times New Roman" w:hAnsi="Times New Roman" w:cs="Times New Roman" w:eastAsiaTheme="minorEastAsia"/>
          <w:color w:val="auto"/>
          <w:sz w:val="24"/>
          <w:szCs w:val="24"/>
          <w:highlight w:val="none"/>
        </w:rPr>
        <w:t>1</w:t>
      </w:r>
      <w:r>
        <w:rPr>
          <w:rFonts w:hint="eastAsia" w:ascii="Times New Roman" w:hAnsi="Times New Roman" w:cs="Times New Roman" w:eastAsiaTheme="minorEastAsia"/>
          <w:color w:val="auto"/>
          <w:sz w:val="24"/>
          <w:szCs w:val="24"/>
          <w:highlight w:val="none"/>
          <w:lang w:val="en-US" w:eastAsia="zh-CN"/>
        </w:rPr>
        <w:t>5</w:t>
      </w:r>
      <w:r>
        <w:rPr>
          <w:rFonts w:hint="default" w:ascii="Times New Roman" w:hAnsi="Times New Roman" w:cs="Times New Roman" w:eastAsiaTheme="minorEastAsia"/>
          <w:color w:val="auto"/>
          <w:sz w:val="24"/>
          <w:szCs w:val="24"/>
          <w:highlight w:val="none"/>
        </w:rPr>
        <w:t>）《建设项目竣工环境保护验收效果评估技术指南（试行）》（生态环境部，环保环评函[2018]259号）</w:t>
      </w:r>
      <w:r>
        <w:rPr>
          <w:rFonts w:hint="eastAsia" w:ascii="Times New Roman" w:hAnsi="Times New Roman" w:cs="Times New Roman" w:eastAsiaTheme="minorEastAsia"/>
          <w:color w:val="auto"/>
          <w:sz w:val="24"/>
          <w:szCs w:val="24"/>
          <w:highlight w:val="none"/>
          <w:lang w:eastAsia="zh-CN"/>
        </w:rPr>
        <w:t>；</w:t>
      </w:r>
    </w:p>
    <w:p w14:paraId="3B5354CA">
      <w:pPr>
        <w:pStyle w:val="5"/>
        <w:keepNext/>
        <w:keepLines/>
        <w:pageBreakBefore w:val="0"/>
        <w:widowControl w:val="0"/>
        <w:kinsoku/>
        <w:wordWrap/>
        <w:overflowPunct/>
        <w:topLinePunct w:val="0"/>
        <w:autoSpaceDE/>
        <w:autoSpaceDN/>
        <w:bidi w:val="0"/>
        <w:adjustRightInd w:val="0"/>
        <w:snapToGrid w:val="0"/>
        <w:spacing w:line="360" w:lineRule="auto"/>
        <w:textAlignment w:val="auto"/>
        <w:rPr>
          <w:rFonts w:cs="Times New Roman"/>
          <w:color w:val="000000" w:themeColor="text1"/>
          <w:highlight w:val="none"/>
          <w14:textFill>
            <w14:solidFill>
              <w14:schemeClr w14:val="tx1"/>
            </w14:solidFill>
          </w14:textFill>
        </w:rPr>
      </w:pPr>
      <w:bookmarkStart w:id="5" w:name="_Toc26066"/>
      <w:r>
        <w:rPr>
          <w:rFonts w:cs="Times New Roman"/>
          <w:color w:val="000000" w:themeColor="text1"/>
          <w:highlight w:val="none"/>
          <w14:textFill>
            <w14:solidFill>
              <w14:schemeClr w14:val="tx1"/>
            </w14:solidFill>
          </w14:textFill>
        </w:rPr>
        <w:t>2.3建设项目环境影响报告</w:t>
      </w:r>
      <w:r>
        <w:rPr>
          <w:rFonts w:hint="eastAsia" w:cs="Times New Roman"/>
          <w:color w:val="000000" w:themeColor="text1"/>
          <w:highlight w:val="none"/>
          <w:lang w:val="en-US" w:eastAsia="zh-CN"/>
          <w14:textFill>
            <w14:solidFill>
              <w14:schemeClr w14:val="tx1"/>
            </w14:solidFill>
          </w14:textFill>
        </w:rPr>
        <w:t>书</w:t>
      </w:r>
      <w:r>
        <w:rPr>
          <w:rFonts w:cs="Times New Roman"/>
          <w:color w:val="000000" w:themeColor="text1"/>
          <w:highlight w:val="none"/>
          <w14:textFill>
            <w14:solidFill>
              <w14:schemeClr w14:val="tx1"/>
            </w14:solidFill>
          </w14:textFill>
        </w:rPr>
        <w:t>及其审批部门审批决定</w:t>
      </w:r>
      <w:bookmarkEnd w:id="5"/>
    </w:p>
    <w:p w14:paraId="5D3C89A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eastAsiaTheme="minorEastAsia"/>
          <w:color w:val="auto"/>
          <w:sz w:val="24"/>
          <w:szCs w:val="24"/>
          <w:highlight w:val="none"/>
        </w:rPr>
      </w:pPr>
      <w:r>
        <w:rPr>
          <w:rFonts w:hint="eastAsia" w:ascii="Times New Roman" w:hAnsi="Times New Roman" w:eastAsiaTheme="minorEastAsia"/>
          <w:color w:val="auto"/>
          <w:sz w:val="24"/>
          <w:szCs w:val="24"/>
          <w:highlight w:val="none"/>
        </w:rPr>
        <w:t>（1</w:t>
      </w:r>
      <w:r>
        <w:rPr>
          <w:rFonts w:hint="eastAsia" w:ascii="Times New Roman" w:hAnsi="Times New Roman" w:cs="Times New Roman" w:eastAsiaTheme="minorEastAsia"/>
          <w:color w:val="auto"/>
          <w:sz w:val="24"/>
          <w:szCs w:val="24"/>
          <w:highlight w:val="none"/>
        </w:rPr>
        <w:t>）《</w:t>
      </w:r>
      <w:r>
        <w:rPr>
          <w:rFonts w:hint="eastAsia" w:ascii="Times New Roman" w:hAnsi="Times New Roman" w:eastAsia="宋体" w:cs="Times New Roman"/>
          <w:bCs/>
          <w:color w:val="auto"/>
          <w:sz w:val="24"/>
          <w:szCs w:val="24"/>
          <w:highlight w:val="none"/>
          <w:lang w:val="en-US" w:eastAsia="zh-CN"/>
        </w:rPr>
        <w:t>唐山市康泰科技有限公司年产羊肉片机5000台新建项目</w:t>
      </w:r>
      <w:r>
        <w:rPr>
          <w:rFonts w:hint="eastAsia" w:ascii="Times New Roman" w:hAnsi="Times New Roman" w:cs="Times New Roman" w:eastAsiaTheme="minorEastAsia"/>
          <w:color w:val="auto"/>
          <w:sz w:val="24"/>
          <w:szCs w:val="24"/>
          <w:highlight w:val="none"/>
        </w:rPr>
        <w:t>环境影响报告</w:t>
      </w:r>
      <w:r>
        <w:rPr>
          <w:rFonts w:hint="eastAsia" w:ascii="Times New Roman" w:hAnsi="Times New Roman" w:cs="Times New Roman" w:eastAsiaTheme="minorEastAsia"/>
          <w:color w:val="auto"/>
          <w:sz w:val="24"/>
          <w:szCs w:val="24"/>
          <w:highlight w:val="none"/>
          <w:lang w:val="en-US" w:eastAsia="zh-CN"/>
        </w:rPr>
        <w:t>书</w:t>
      </w:r>
      <w:r>
        <w:rPr>
          <w:rFonts w:hint="eastAsia" w:ascii="Times New Roman" w:hAnsi="Times New Roman" w:eastAsiaTheme="minorEastAsia"/>
          <w:color w:val="auto"/>
          <w:sz w:val="24"/>
          <w:szCs w:val="24"/>
          <w:highlight w:val="none"/>
        </w:rPr>
        <w:t>》</w:t>
      </w:r>
      <w:r>
        <w:rPr>
          <w:rFonts w:hint="eastAsia" w:ascii="Times New Roman" w:hAnsi="Times New Roman" w:cs="Times New Roman" w:eastAsiaTheme="minorEastAsia"/>
          <w:color w:val="auto"/>
          <w:sz w:val="24"/>
          <w:szCs w:val="24"/>
          <w:highlight w:val="none"/>
        </w:rPr>
        <w:t>，唐山鼎清环保科技有限公司</w:t>
      </w:r>
      <w:r>
        <w:rPr>
          <w:rFonts w:hint="eastAsia" w:ascii="Times New Roman" w:hAnsi="Times New Roman" w:eastAsiaTheme="minorEastAsia"/>
          <w:color w:val="auto"/>
          <w:sz w:val="24"/>
          <w:szCs w:val="24"/>
          <w:highlight w:val="none"/>
        </w:rPr>
        <w:t>，20</w:t>
      </w:r>
      <w:r>
        <w:rPr>
          <w:rFonts w:hint="eastAsia" w:ascii="Times New Roman" w:hAnsi="Times New Roman" w:eastAsiaTheme="minorEastAsia"/>
          <w:color w:val="auto"/>
          <w:sz w:val="24"/>
          <w:szCs w:val="24"/>
          <w:highlight w:val="none"/>
          <w:lang w:val="en-US" w:eastAsia="zh-CN"/>
        </w:rPr>
        <w:t>22</w:t>
      </w:r>
      <w:r>
        <w:rPr>
          <w:rFonts w:hint="eastAsia" w:ascii="Times New Roman" w:hAnsi="Times New Roman" w:eastAsiaTheme="minorEastAsia"/>
          <w:color w:val="auto"/>
          <w:sz w:val="24"/>
          <w:szCs w:val="24"/>
          <w:highlight w:val="none"/>
        </w:rPr>
        <w:t>年</w:t>
      </w:r>
      <w:r>
        <w:rPr>
          <w:rFonts w:hint="eastAsia" w:ascii="Times New Roman" w:hAnsi="Times New Roman" w:eastAsiaTheme="minorEastAsia"/>
          <w:color w:val="auto"/>
          <w:sz w:val="24"/>
          <w:szCs w:val="24"/>
          <w:highlight w:val="none"/>
          <w:lang w:val="en-US" w:eastAsia="zh-CN"/>
        </w:rPr>
        <w:t>7</w:t>
      </w:r>
      <w:r>
        <w:rPr>
          <w:rFonts w:hint="eastAsia" w:ascii="Times New Roman" w:hAnsi="Times New Roman" w:eastAsiaTheme="minorEastAsia"/>
          <w:color w:val="auto"/>
          <w:sz w:val="24"/>
          <w:szCs w:val="24"/>
          <w:highlight w:val="none"/>
        </w:rPr>
        <w:t>月；</w:t>
      </w:r>
    </w:p>
    <w:p w14:paraId="121C82A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eastAsiaTheme="minorEastAsia"/>
          <w:color w:val="auto"/>
          <w:sz w:val="24"/>
          <w:szCs w:val="24"/>
          <w:highlight w:val="none"/>
        </w:rPr>
      </w:pPr>
      <w:r>
        <w:rPr>
          <w:rFonts w:hint="eastAsia" w:ascii="Times New Roman" w:hAnsi="Times New Roman" w:eastAsiaTheme="minorEastAsia"/>
          <w:color w:val="auto"/>
          <w:sz w:val="24"/>
          <w:szCs w:val="24"/>
          <w:highlight w:val="none"/>
        </w:rPr>
        <w:t>（2）《</w:t>
      </w:r>
      <w:r>
        <w:rPr>
          <w:rFonts w:hint="eastAsia" w:ascii="Times New Roman" w:hAnsi="Times New Roman" w:eastAsia="宋体" w:cs="Times New Roman"/>
          <w:bCs/>
          <w:color w:val="auto"/>
          <w:sz w:val="24"/>
          <w:szCs w:val="24"/>
          <w:highlight w:val="none"/>
          <w:lang w:val="en-US" w:eastAsia="zh-CN"/>
        </w:rPr>
        <w:t>唐山市康泰科技有限公司年产羊肉片机5000台新建项目</w:t>
      </w:r>
      <w:r>
        <w:rPr>
          <w:rFonts w:hint="eastAsia" w:ascii="Times New Roman" w:hAnsi="Times New Roman" w:cs="Times New Roman" w:eastAsiaTheme="minorEastAsia"/>
          <w:color w:val="auto"/>
          <w:sz w:val="24"/>
          <w:szCs w:val="24"/>
          <w:highlight w:val="none"/>
        </w:rPr>
        <w:t>环境影响报告</w:t>
      </w:r>
      <w:r>
        <w:rPr>
          <w:rFonts w:hint="eastAsia" w:ascii="Times New Roman" w:hAnsi="Times New Roman" w:cs="Times New Roman" w:eastAsiaTheme="minorEastAsia"/>
          <w:color w:val="auto"/>
          <w:sz w:val="24"/>
          <w:szCs w:val="24"/>
          <w:highlight w:val="none"/>
          <w:lang w:val="en-US" w:eastAsia="zh-CN"/>
        </w:rPr>
        <w:t>书</w:t>
      </w:r>
      <w:r>
        <w:rPr>
          <w:rFonts w:hint="eastAsia" w:ascii="Times New Roman" w:hAnsi="Times New Roman" w:eastAsiaTheme="minorEastAsia"/>
          <w:color w:val="auto"/>
          <w:sz w:val="24"/>
          <w:szCs w:val="24"/>
          <w:highlight w:val="none"/>
        </w:rPr>
        <w:t>》的审批意见（</w:t>
      </w:r>
      <w:r>
        <w:rPr>
          <w:rFonts w:hint="eastAsia" w:ascii="Times New Roman" w:hAnsi="Times New Roman" w:eastAsia="宋体" w:cs="Times New Roman"/>
          <w:color w:val="auto"/>
          <w:sz w:val="24"/>
          <w:szCs w:val="24"/>
          <w:highlight w:val="none"/>
          <w:lang w:val="en-US" w:eastAsia="zh-CN"/>
        </w:rPr>
        <w:t>玉审环书</w:t>
      </w:r>
      <w:r>
        <w:rPr>
          <w:rFonts w:hint="default" w:ascii="Times New Roman" w:hAnsi="Times New Roman" w:eastAsia="宋体" w:cs="Times New Roman"/>
          <w:color w:val="auto"/>
          <w:sz w:val="24"/>
          <w:szCs w:val="24"/>
          <w:highlight w:val="none"/>
          <w:lang w:val="en-US" w:eastAsia="zh-CN"/>
        </w:rPr>
        <w:t>〔202</w:t>
      </w:r>
      <w:r>
        <w:rPr>
          <w:rFonts w:hint="eastAsia"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lang w:val="en-US" w:eastAsia="zh-CN"/>
        </w:rPr>
        <w:t>号</w:t>
      </w:r>
      <w:r>
        <w:rPr>
          <w:rFonts w:hint="eastAsia" w:ascii="Times New Roman" w:hAnsi="Times New Roman" w:eastAsiaTheme="minorEastAsia"/>
          <w:color w:val="auto"/>
          <w:sz w:val="24"/>
          <w:szCs w:val="24"/>
          <w:highlight w:val="none"/>
        </w:rPr>
        <w:t>），</w:t>
      </w:r>
      <w:r>
        <w:rPr>
          <w:rFonts w:hint="eastAsia" w:ascii="Times New Roman" w:hAnsi="Times New Roman" w:eastAsiaTheme="minorEastAsia"/>
          <w:color w:val="auto"/>
          <w:sz w:val="24"/>
          <w:szCs w:val="24"/>
          <w:highlight w:val="none"/>
          <w:lang w:val="en-US" w:eastAsia="zh-CN"/>
        </w:rPr>
        <w:t>2022年8月25日</w:t>
      </w:r>
      <w:r>
        <w:rPr>
          <w:rFonts w:hint="eastAsia" w:ascii="Times New Roman" w:hAnsi="Times New Roman" w:eastAsiaTheme="minorEastAsia"/>
          <w:color w:val="auto"/>
          <w:sz w:val="24"/>
          <w:szCs w:val="24"/>
          <w:highlight w:val="none"/>
        </w:rPr>
        <w:t>。</w:t>
      </w:r>
    </w:p>
    <w:p w14:paraId="04893C8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eastAsiaTheme="minorEastAsia"/>
          <w:color w:val="auto"/>
          <w:sz w:val="24"/>
          <w:szCs w:val="24"/>
          <w:highlight w:val="none"/>
        </w:rPr>
      </w:pPr>
      <w:r>
        <w:rPr>
          <w:rFonts w:hint="eastAsia" w:ascii="Times New Roman" w:hAnsi="Times New Roman" w:eastAsiaTheme="minorEastAsia"/>
          <w:color w:val="auto"/>
          <w:sz w:val="24"/>
          <w:szCs w:val="24"/>
          <w:highlight w:val="none"/>
        </w:rPr>
        <w:t>（</w:t>
      </w:r>
      <w:r>
        <w:rPr>
          <w:rFonts w:hint="eastAsia" w:ascii="Times New Roman" w:hAnsi="Times New Roman" w:eastAsiaTheme="minorEastAsia"/>
          <w:color w:val="auto"/>
          <w:sz w:val="24"/>
          <w:szCs w:val="24"/>
          <w:highlight w:val="none"/>
          <w:lang w:val="en-US" w:eastAsia="zh-CN"/>
        </w:rPr>
        <w:t>3</w:t>
      </w:r>
      <w:r>
        <w:rPr>
          <w:rFonts w:hint="eastAsia" w:ascii="Times New Roman" w:hAnsi="Times New Roman" w:eastAsiaTheme="minorEastAsia"/>
          <w:color w:val="auto"/>
          <w:sz w:val="24"/>
          <w:szCs w:val="24"/>
          <w:highlight w:val="none"/>
        </w:rPr>
        <w:t>）</w:t>
      </w:r>
      <w:r>
        <w:rPr>
          <w:rFonts w:hint="eastAsia" w:ascii="Times New Roman" w:hAnsi="Times New Roman" w:eastAsia="宋体" w:cs="Times New Roman"/>
          <w:bCs/>
          <w:color w:val="auto"/>
          <w:sz w:val="24"/>
          <w:szCs w:val="24"/>
          <w:highlight w:val="none"/>
          <w:lang w:val="en-US" w:eastAsia="zh-CN"/>
        </w:rPr>
        <w:t>唐山市康泰科技有限公司</w:t>
      </w:r>
      <w:r>
        <w:rPr>
          <w:rFonts w:hint="eastAsia" w:ascii="Times New Roman" w:hAnsi="Times New Roman" w:eastAsia="宋体" w:cs="Times New Roman"/>
          <w:color w:val="auto"/>
          <w:sz w:val="24"/>
          <w:szCs w:val="24"/>
          <w:highlight w:val="none"/>
          <w:lang w:val="en-US" w:eastAsia="zh-CN"/>
        </w:rPr>
        <w:t>已</w:t>
      </w:r>
      <w:r>
        <w:rPr>
          <w:rFonts w:hint="eastAsia" w:ascii="Times New Roman" w:hAnsi="Times New Roman" w:eastAsia="宋体" w:cs="Times New Roman"/>
          <w:bCs/>
          <w:color w:val="auto"/>
          <w:sz w:val="24"/>
          <w:szCs w:val="24"/>
          <w:highlight w:val="none"/>
          <w:lang w:val="en-US" w:eastAsia="zh-CN"/>
        </w:rPr>
        <w:t>完成排污许可证变更（证书编号：91130229MA0CM1HT60001W），有效期至2031年01月03日</w:t>
      </w:r>
      <w:r>
        <w:rPr>
          <w:rFonts w:hint="default" w:ascii="Times New Roman" w:hAnsi="Times New Roman" w:eastAsia="宋体" w:cs="Times New Roman"/>
          <w:bCs/>
          <w:color w:val="auto"/>
          <w:sz w:val="24"/>
          <w:szCs w:val="24"/>
          <w:highlight w:val="none"/>
          <w:lang w:val="en-US" w:eastAsia="zh-CN"/>
        </w:rPr>
        <w:t>。</w:t>
      </w:r>
    </w:p>
    <w:p w14:paraId="01191977">
      <w:pPr>
        <w:pStyle w:val="5"/>
        <w:keepNext/>
        <w:keepLines/>
        <w:pageBreakBefore w:val="0"/>
        <w:widowControl w:val="0"/>
        <w:kinsoku/>
        <w:wordWrap/>
        <w:overflowPunct/>
        <w:topLinePunct w:val="0"/>
        <w:autoSpaceDE/>
        <w:autoSpaceDN/>
        <w:bidi w:val="0"/>
        <w:adjustRightInd w:val="0"/>
        <w:snapToGrid w:val="0"/>
        <w:spacing w:line="360" w:lineRule="auto"/>
        <w:textAlignment w:val="auto"/>
        <w:rPr>
          <w:rFonts w:cs="Times New Roman"/>
          <w:color w:val="000000" w:themeColor="text1"/>
          <w:highlight w:val="none"/>
          <w14:textFill>
            <w14:solidFill>
              <w14:schemeClr w14:val="tx1"/>
            </w14:solidFill>
          </w14:textFill>
        </w:rPr>
      </w:pPr>
      <w:bookmarkStart w:id="6" w:name="_Toc6615"/>
      <w:r>
        <w:rPr>
          <w:rFonts w:cs="Times New Roman"/>
          <w:color w:val="000000" w:themeColor="text1"/>
          <w:highlight w:val="none"/>
          <w14:textFill>
            <w14:solidFill>
              <w14:schemeClr w14:val="tx1"/>
            </w14:solidFill>
          </w14:textFill>
        </w:rPr>
        <w:t>2.4其他相关文件</w:t>
      </w:r>
      <w:bookmarkEnd w:id="6"/>
    </w:p>
    <w:p w14:paraId="5999CA0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eastAsiaTheme="minorEastAsia"/>
          <w:color w:val="auto"/>
          <w:sz w:val="24"/>
          <w:szCs w:val="24"/>
          <w:highlight w:val="none"/>
        </w:rPr>
      </w:pPr>
      <w:r>
        <w:rPr>
          <w:rFonts w:hint="default"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唐山一方检测技术有限公司</w:t>
      </w:r>
      <w:r>
        <w:rPr>
          <w:rFonts w:hint="default" w:ascii="Times New Roman" w:hAnsi="Times New Roman" w:eastAsia="宋体" w:cs="Times New Roman"/>
          <w:color w:val="auto"/>
          <w:sz w:val="24"/>
          <w:szCs w:val="30"/>
          <w:highlight w:val="none"/>
          <w:lang w:val="en-US" w:eastAsia="zh-CN"/>
        </w:rPr>
        <w:t>，</w:t>
      </w:r>
      <w:r>
        <w:rPr>
          <w:rFonts w:hint="eastAsia" w:ascii="Times New Roman" w:hAnsi="Times New Roman" w:eastAsiaTheme="minorEastAsia"/>
          <w:color w:val="auto"/>
          <w:sz w:val="24"/>
          <w:szCs w:val="24"/>
          <w:highlight w:val="none"/>
        </w:rPr>
        <w:t>《</w:t>
      </w:r>
      <w:r>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唐山市康泰科技有限公司验收</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检测</w:t>
      </w:r>
      <w:r>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报告</w:t>
      </w:r>
      <w:r>
        <w:rPr>
          <w:rFonts w:hint="eastAsia" w:ascii="Times New Roman" w:hAnsi="Times New Roman" w:eastAsiaTheme="minorEastAsia"/>
          <w:color w:val="auto"/>
          <w:sz w:val="24"/>
          <w:szCs w:val="24"/>
          <w:highlight w:val="none"/>
        </w:rPr>
        <w:t>》</w:t>
      </w:r>
      <w:r>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（YFJC-2026-26145-03117，2026年04月16日</w:t>
      </w:r>
      <w:r>
        <w:rPr>
          <w:rFonts w:hint="eastAsia" w:ascii="Times New Roman" w:hAnsi="Times New Roman" w:eastAsiaTheme="minorEastAsia"/>
          <w:color w:val="auto"/>
          <w:sz w:val="24"/>
          <w:szCs w:val="24"/>
          <w:highlight w:val="none"/>
        </w:rPr>
        <w:t>）；</w:t>
      </w:r>
    </w:p>
    <w:p w14:paraId="5BE20B1B">
      <w:pPr>
        <w:pStyle w:val="2"/>
        <w:rPr>
          <w:rFonts w:hint="default"/>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14:paraId="2D0382A5">
      <w:pPr>
        <w:pStyle w:val="4"/>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7" w:name="_Toc7367"/>
      <w:r>
        <w:rPr>
          <w:rFonts w:hint="default" w:ascii="Times New Roman" w:hAnsi="Times New Roman" w:eastAsia="宋体" w:cs="Times New Roman"/>
          <w:color w:val="000000" w:themeColor="text1"/>
          <w:highlight w:val="none"/>
          <w14:textFill>
            <w14:solidFill>
              <w14:schemeClr w14:val="tx1"/>
            </w14:solidFill>
          </w14:textFill>
        </w:rPr>
        <w:t>3项目建设情况</w:t>
      </w:r>
      <w:bookmarkEnd w:id="7"/>
    </w:p>
    <w:p w14:paraId="1BAF2BF7">
      <w:pPr>
        <w:pStyle w:val="5"/>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8" w:name="_Toc11373"/>
      <w:r>
        <w:rPr>
          <w:rFonts w:hint="default" w:ascii="Times New Roman" w:hAnsi="Times New Roman" w:eastAsia="宋体" w:cs="Times New Roman"/>
          <w:color w:val="000000" w:themeColor="text1"/>
          <w:highlight w:val="none"/>
          <w14:textFill>
            <w14:solidFill>
              <w14:schemeClr w14:val="tx1"/>
            </w14:solidFill>
          </w14:textFill>
        </w:rPr>
        <w:t>3.1地理位置</w:t>
      </w:r>
      <w:bookmarkEnd w:id="8"/>
    </w:p>
    <w:p w14:paraId="659921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bCs/>
          <w:color w:val="auto"/>
          <w:sz w:val="24"/>
          <w:szCs w:val="24"/>
          <w:highlight w:val="none"/>
          <w:lang w:val="en-US" w:eastAsia="zh-CN"/>
        </w:rPr>
      </w:pPr>
      <w:bookmarkStart w:id="9" w:name="_Toc5070"/>
      <w:r>
        <w:rPr>
          <w:rFonts w:hint="default" w:ascii="Times New Roman" w:hAnsi="Times New Roman" w:cs="Times New Roman" w:eastAsiaTheme="minorEastAsia"/>
          <w:bCs/>
          <w:color w:val="auto"/>
          <w:sz w:val="24"/>
          <w:szCs w:val="24"/>
          <w:highlight w:val="none"/>
          <w:lang w:val="en-US" w:eastAsia="zh-CN"/>
        </w:rPr>
        <w:t>项目位于</w:t>
      </w:r>
      <w:r>
        <w:rPr>
          <w:rFonts w:hint="eastAsia" w:ascii="Times New Roman" w:hAnsi="Times New Roman" w:cs="Times New Roman" w:eastAsiaTheme="minorEastAsia"/>
          <w:bCs/>
          <w:color w:val="auto"/>
          <w:sz w:val="24"/>
          <w:szCs w:val="24"/>
          <w:highlight w:val="none"/>
          <w:lang w:val="en-US" w:eastAsia="zh-CN"/>
        </w:rPr>
        <w:t>河北玉田经济开发区鸦鸿桥产业园</w:t>
      </w:r>
      <w:r>
        <w:rPr>
          <w:rFonts w:hint="default" w:ascii="Times New Roman" w:hAnsi="Times New Roman" w:cs="Times New Roman" w:eastAsiaTheme="minorEastAsia"/>
          <w:bCs/>
          <w:color w:val="auto"/>
          <w:sz w:val="24"/>
          <w:szCs w:val="24"/>
          <w:highlight w:val="none"/>
          <w:lang w:val="en-US" w:eastAsia="zh-CN"/>
        </w:rPr>
        <w:t>，厂址中心坐标位于东经117°48′38.91349″，北纬39°45′1.40820″。项目</w:t>
      </w:r>
      <w:r>
        <w:rPr>
          <w:rFonts w:hint="eastAsia" w:ascii="Times New Roman" w:hAnsi="Times New Roman" w:cs="Times New Roman" w:eastAsiaTheme="minorEastAsia"/>
          <w:bCs/>
          <w:color w:val="auto"/>
          <w:sz w:val="24"/>
          <w:szCs w:val="24"/>
          <w:highlight w:val="none"/>
          <w:lang w:val="en-US" w:eastAsia="zh-CN"/>
        </w:rPr>
        <w:t>所在厂区</w:t>
      </w:r>
      <w:r>
        <w:rPr>
          <w:rFonts w:hint="default" w:ascii="Times New Roman" w:hAnsi="Times New Roman" w:cs="Times New Roman" w:eastAsiaTheme="minorEastAsia"/>
          <w:bCs/>
          <w:color w:val="auto"/>
          <w:sz w:val="24"/>
          <w:szCs w:val="24"/>
          <w:highlight w:val="none"/>
          <w:lang w:val="en-US" w:eastAsia="zh-CN"/>
        </w:rPr>
        <w:t>项目</w:t>
      </w:r>
      <w:r>
        <w:rPr>
          <w:rFonts w:hint="eastAsia" w:ascii="Times New Roman" w:hAnsi="Times New Roman" w:cs="Times New Roman" w:eastAsiaTheme="minorEastAsia"/>
          <w:bCs/>
          <w:color w:val="auto"/>
          <w:sz w:val="24"/>
          <w:szCs w:val="24"/>
          <w:highlight w:val="none"/>
          <w:lang w:val="en-US" w:eastAsia="zh-CN"/>
        </w:rPr>
        <w:t>所在厂区</w:t>
      </w:r>
      <w:r>
        <w:rPr>
          <w:rFonts w:hint="default" w:ascii="Times New Roman" w:hAnsi="Times New Roman" w:cs="Times New Roman" w:eastAsiaTheme="minorEastAsia"/>
          <w:bCs/>
          <w:color w:val="auto"/>
          <w:sz w:val="24"/>
          <w:szCs w:val="24"/>
          <w:highlight w:val="none"/>
          <w:lang w:val="en-US" w:eastAsia="zh-CN"/>
        </w:rPr>
        <w:t>东侧为</w:t>
      </w:r>
      <w:r>
        <w:rPr>
          <w:rFonts w:hint="eastAsia" w:ascii="Times New Roman" w:hAnsi="Times New Roman" w:cs="Times New Roman" w:eastAsiaTheme="minorEastAsia"/>
          <w:bCs/>
          <w:color w:val="auto"/>
          <w:sz w:val="24"/>
          <w:szCs w:val="24"/>
          <w:highlight w:val="none"/>
          <w:lang w:val="en-US" w:eastAsia="zh-CN"/>
        </w:rPr>
        <w:t>空置建设用地</w:t>
      </w:r>
      <w:r>
        <w:rPr>
          <w:rFonts w:hint="default" w:ascii="Times New Roman" w:hAnsi="Times New Roman" w:cs="Times New Roman" w:eastAsiaTheme="minorEastAsia"/>
          <w:bCs/>
          <w:color w:val="auto"/>
          <w:sz w:val="24"/>
          <w:szCs w:val="24"/>
          <w:highlight w:val="none"/>
          <w:lang w:val="en-US" w:eastAsia="zh-CN"/>
        </w:rPr>
        <w:t>，南侧</w:t>
      </w:r>
      <w:r>
        <w:rPr>
          <w:rFonts w:hint="eastAsia" w:ascii="Times New Roman" w:hAnsi="Times New Roman" w:cs="Times New Roman" w:eastAsiaTheme="minorEastAsia"/>
          <w:bCs/>
          <w:color w:val="auto"/>
          <w:sz w:val="24"/>
          <w:szCs w:val="24"/>
          <w:highlight w:val="none"/>
          <w:lang w:val="en-US" w:eastAsia="zh-CN"/>
        </w:rPr>
        <w:t>为空置厂房</w:t>
      </w:r>
      <w:r>
        <w:rPr>
          <w:rFonts w:hint="default" w:ascii="Times New Roman" w:hAnsi="Times New Roman" w:cs="Times New Roman" w:eastAsiaTheme="minorEastAsia"/>
          <w:bCs/>
          <w:color w:val="auto"/>
          <w:sz w:val="24"/>
          <w:szCs w:val="24"/>
          <w:highlight w:val="none"/>
          <w:lang w:val="en-US" w:eastAsia="zh-CN"/>
        </w:rPr>
        <w:t>，西侧为</w:t>
      </w:r>
      <w:r>
        <w:rPr>
          <w:rFonts w:hint="eastAsia" w:ascii="Times New Roman" w:hAnsi="Times New Roman" w:cs="Times New Roman" w:eastAsiaTheme="minorEastAsia"/>
          <w:bCs/>
          <w:color w:val="auto"/>
          <w:sz w:val="24"/>
          <w:szCs w:val="24"/>
          <w:highlight w:val="none"/>
          <w:lang w:val="en-US" w:eastAsia="zh-CN"/>
        </w:rPr>
        <w:t>无名小路</w:t>
      </w:r>
      <w:r>
        <w:rPr>
          <w:rFonts w:hint="default" w:ascii="Times New Roman" w:hAnsi="Times New Roman" w:cs="Times New Roman" w:eastAsiaTheme="minorEastAsia"/>
          <w:bCs/>
          <w:color w:val="auto"/>
          <w:sz w:val="24"/>
          <w:szCs w:val="24"/>
          <w:highlight w:val="none"/>
          <w:lang w:val="en-US" w:eastAsia="zh-CN"/>
        </w:rPr>
        <w:t>，北侧为</w:t>
      </w:r>
      <w:r>
        <w:rPr>
          <w:rFonts w:hint="eastAsia" w:ascii="Times New Roman" w:hAnsi="Times New Roman" w:cs="Times New Roman" w:eastAsiaTheme="minorEastAsia"/>
          <w:bCs/>
          <w:color w:val="auto"/>
          <w:sz w:val="24"/>
          <w:szCs w:val="24"/>
          <w:highlight w:val="none"/>
          <w:lang w:val="en-US" w:eastAsia="zh-CN"/>
        </w:rPr>
        <w:t>空置建设用地。</w:t>
      </w:r>
      <w:r>
        <w:rPr>
          <w:rFonts w:hint="default" w:ascii="Times New Roman" w:hAnsi="Times New Roman" w:cs="Times New Roman" w:eastAsiaTheme="minorEastAsia"/>
          <w:bCs/>
          <w:color w:val="auto"/>
          <w:sz w:val="24"/>
          <w:szCs w:val="24"/>
          <w:highlight w:val="none"/>
          <w:lang w:val="en-US" w:eastAsia="zh-CN"/>
        </w:rPr>
        <w:t>项目最近敏感点为</w:t>
      </w:r>
      <w:r>
        <w:rPr>
          <w:rFonts w:hint="eastAsia" w:ascii="Times New Roman" w:hAnsi="Times New Roman" w:cs="Times New Roman" w:eastAsiaTheme="minorEastAsia"/>
          <w:bCs/>
          <w:color w:val="auto"/>
          <w:sz w:val="24"/>
          <w:szCs w:val="24"/>
          <w:highlight w:val="none"/>
          <w:lang w:val="en-US" w:eastAsia="zh-CN"/>
        </w:rPr>
        <w:t>厂区南侧88m的天才宝贝幼儿园</w:t>
      </w:r>
      <w:r>
        <w:rPr>
          <w:rFonts w:hint="default" w:ascii="Times New Roman" w:hAnsi="Times New Roman" w:cs="Times New Roman" w:eastAsiaTheme="minorEastAsia"/>
          <w:bCs/>
          <w:color w:val="auto"/>
          <w:sz w:val="24"/>
          <w:szCs w:val="24"/>
          <w:highlight w:val="none"/>
          <w:lang w:val="en-US" w:eastAsia="zh-CN"/>
        </w:rPr>
        <w:t>。</w:t>
      </w:r>
    </w:p>
    <w:p w14:paraId="3DF7AA69">
      <w:pPr>
        <w:pStyle w:val="5"/>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3.2建设内容</w:t>
      </w:r>
      <w:bookmarkEnd w:id="9"/>
    </w:p>
    <w:p w14:paraId="1DCFB508">
      <w:pPr>
        <w:pStyle w:val="6"/>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rPr>
      </w:pPr>
      <w:r>
        <w:rPr>
          <w:rFonts w:hint="eastAsia"/>
          <w:color w:val="auto"/>
          <w:highlight w:val="none"/>
        </w:rPr>
        <w:t>3.2.1项目规模</w:t>
      </w:r>
    </w:p>
    <w:p w14:paraId="6E777C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bCs/>
          <w:color w:val="auto"/>
          <w:sz w:val="24"/>
          <w:szCs w:val="24"/>
          <w:highlight w:val="none"/>
          <w:lang w:val="en-US" w:eastAsia="zh-CN"/>
        </w:rPr>
      </w:pPr>
      <w:r>
        <w:rPr>
          <w:rFonts w:hint="default" w:ascii="Times New Roman" w:hAnsi="Times New Roman" w:cs="Times New Roman" w:eastAsiaTheme="minorEastAsia"/>
          <w:bCs/>
          <w:color w:val="auto"/>
          <w:sz w:val="24"/>
          <w:szCs w:val="24"/>
          <w:highlight w:val="none"/>
          <w:lang w:val="en-US" w:eastAsia="zh-CN"/>
        </w:rPr>
        <w:t>本项目建成后，</w:t>
      </w:r>
      <w:r>
        <w:rPr>
          <w:rFonts w:hint="eastAsia" w:ascii="Times New Roman" w:hAnsi="Times New Roman" w:cs="Times New Roman" w:eastAsiaTheme="minorEastAsia"/>
          <w:bCs/>
          <w:color w:val="auto"/>
          <w:sz w:val="24"/>
          <w:szCs w:val="24"/>
          <w:highlight w:val="none"/>
          <w:lang w:val="en-US" w:eastAsia="zh-CN"/>
        </w:rPr>
        <w:t>年产羊肉片机5000台。</w:t>
      </w:r>
    </w:p>
    <w:p w14:paraId="65B73662">
      <w:pPr>
        <w:pStyle w:val="6"/>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rPr>
      </w:pPr>
      <w:r>
        <w:rPr>
          <w:rFonts w:hint="eastAsia"/>
          <w:color w:val="auto"/>
          <w:highlight w:val="none"/>
        </w:rPr>
        <w:t>3.2.2项目投资</w:t>
      </w:r>
    </w:p>
    <w:p w14:paraId="4A7E2A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bCs/>
          <w:color w:val="auto"/>
          <w:sz w:val="24"/>
          <w:szCs w:val="24"/>
          <w:highlight w:val="none"/>
          <w:lang w:val="en-US" w:eastAsia="zh-CN"/>
        </w:rPr>
      </w:pPr>
      <w:r>
        <w:rPr>
          <w:rFonts w:hint="default" w:ascii="Times New Roman" w:hAnsi="Times New Roman" w:cs="Times New Roman" w:eastAsiaTheme="minorEastAsia"/>
          <w:bCs/>
          <w:color w:val="auto"/>
          <w:sz w:val="24"/>
          <w:szCs w:val="24"/>
          <w:highlight w:val="none"/>
          <w:lang w:val="en-US" w:eastAsia="zh-CN"/>
        </w:rPr>
        <w:t>项目总投资</w:t>
      </w:r>
      <w:r>
        <w:rPr>
          <w:rFonts w:hint="eastAsia" w:ascii="Times New Roman" w:hAnsi="Times New Roman" w:cs="Times New Roman" w:eastAsiaTheme="minorEastAsia"/>
          <w:bCs/>
          <w:color w:val="auto"/>
          <w:sz w:val="24"/>
          <w:szCs w:val="24"/>
          <w:highlight w:val="none"/>
          <w:lang w:val="en-US" w:eastAsia="zh-CN"/>
        </w:rPr>
        <w:t>2500</w:t>
      </w:r>
      <w:r>
        <w:rPr>
          <w:rFonts w:hint="default" w:ascii="Times New Roman" w:hAnsi="Times New Roman" w:cs="Times New Roman" w:eastAsiaTheme="minorEastAsia"/>
          <w:bCs/>
          <w:color w:val="auto"/>
          <w:sz w:val="24"/>
          <w:szCs w:val="24"/>
          <w:highlight w:val="none"/>
          <w:lang w:val="en-US" w:eastAsia="zh-CN"/>
        </w:rPr>
        <w:t>万元，其中环保投资共计</w:t>
      </w:r>
      <w:r>
        <w:rPr>
          <w:rFonts w:hint="eastAsia" w:ascii="Times New Roman" w:hAnsi="Times New Roman" w:cs="Times New Roman" w:eastAsiaTheme="minorEastAsia"/>
          <w:bCs/>
          <w:color w:val="auto"/>
          <w:sz w:val="24"/>
          <w:szCs w:val="24"/>
          <w:highlight w:val="none"/>
          <w:lang w:val="en-US" w:eastAsia="zh-CN"/>
        </w:rPr>
        <w:t>51</w:t>
      </w:r>
      <w:r>
        <w:rPr>
          <w:rFonts w:hint="default" w:ascii="Times New Roman" w:hAnsi="Times New Roman" w:cs="Times New Roman" w:eastAsiaTheme="minorEastAsia"/>
          <w:bCs/>
          <w:color w:val="auto"/>
          <w:sz w:val="24"/>
          <w:szCs w:val="24"/>
          <w:highlight w:val="none"/>
          <w:lang w:val="en-US" w:eastAsia="zh-CN"/>
        </w:rPr>
        <w:t>万元，占总投资的</w:t>
      </w:r>
      <w:r>
        <w:rPr>
          <w:rFonts w:hint="eastAsia" w:ascii="Times New Roman" w:hAnsi="Times New Roman" w:cs="Times New Roman" w:eastAsiaTheme="minorEastAsia"/>
          <w:bCs/>
          <w:color w:val="auto"/>
          <w:sz w:val="24"/>
          <w:szCs w:val="24"/>
          <w:highlight w:val="none"/>
          <w:lang w:val="en-US" w:eastAsia="zh-CN"/>
        </w:rPr>
        <w:t>2.04</w:t>
      </w:r>
      <w:r>
        <w:rPr>
          <w:rFonts w:hint="default" w:ascii="Times New Roman" w:hAnsi="Times New Roman" w:cs="Times New Roman" w:eastAsiaTheme="minorEastAsia"/>
          <w:bCs/>
          <w:color w:val="auto"/>
          <w:sz w:val="24"/>
          <w:szCs w:val="24"/>
          <w:highlight w:val="none"/>
          <w:lang w:val="en-US" w:eastAsia="zh-CN"/>
        </w:rPr>
        <w:t>%。</w:t>
      </w:r>
    </w:p>
    <w:p w14:paraId="5EE6A0A6">
      <w:pPr>
        <w:pStyle w:val="6"/>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rPr>
      </w:pPr>
      <w:r>
        <w:rPr>
          <w:rFonts w:hint="eastAsia"/>
          <w:color w:val="auto"/>
          <w:highlight w:val="none"/>
        </w:rPr>
        <w:t>3.</w:t>
      </w:r>
      <w:r>
        <w:rPr>
          <w:rFonts w:hint="eastAsia"/>
          <w:color w:val="auto"/>
          <w:highlight w:val="none"/>
          <w:lang w:val="en-US" w:eastAsia="zh-CN"/>
        </w:rPr>
        <w:t>2</w:t>
      </w:r>
      <w:r>
        <w:rPr>
          <w:rFonts w:hint="eastAsia"/>
          <w:color w:val="auto"/>
          <w:highlight w:val="none"/>
        </w:rPr>
        <w:t>.</w:t>
      </w:r>
      <w:r>
        <w:rPr>
          <w:rFonts w:hint="eastAsia"/>
          <w:color w:val="auto"/>
          <w:highlight w:val="none"/>
          <w:lang w:val="en-US" w:eastAsia="zh-CN"/>
        </w:rPr>
        <w:t>3</w:t>
      </w:r>
      <w:r>
        <w:rPr>
          <w:rFonts w:hint="eastAsia"/>
          <w:color w:val="auto"/>
          <w:highlight w:val="none"/>
        </w:rPr>
        <w:t>平面布置</w:t>
      </w:r>
    </w:p>
    <w:p w14:paraId="5B3F3669">
      <w:pPr>
        <w:spacing w:line="360" w:lineRule="auto"/>
        <w:ind w:firstLine="480" w:firstLineChars="200"/>
        <w:rPr>
          <w:rFonts w:hint="eastAsia" w:ascii="Times New Roman" w:hAnsi="Times New Roman" w:eastAsiaTheme="minorEastAsia"/>
          <w:bCs/>
          <w:color w:val="auto"/>
          <w:sz w:val="24"/>
          <w:szCs w:val="24"/>
          <w:highlight w:val="none"/>
          <w:lang w:eastAsia="zh-CN"/>
        </w:rPr>
      </w:pPr>
      <w:r>
        <w:rPr>
          <w:rFonts w:hint="eastAsia" w:ascii="Times New Roman" w:hAnsi="Times New Roman" w:cs="Times New Roman" w:eastAsiaTheme="minorEastAsia"/>
          <w:bCs/>
          <w:color w:val="auto"/>
          <w:sz w:val="24"/>
          <w:szCs w:val="24"/>
          <w:highlight w:val="none"/>
          <w:lang w:val="en-US" w:eastAsia="zh-CN"/>
        </w:rPr>
        <w:t>厂区东侧为组装车间、成品库、原料库、一般固废储存库，厂区南侧为危废库，西侧自南向北为办公室、污水处理站，厂区北侧为1#生产厂房。</w:t>
      </w:r>
      <w:r>
        <w:rPr>
          <w:rFonts w:hint="eastAsia" w:ascii="Times New Roman" w:hAnsi="Times New Roman" w:eastAsiaTheme="minorEastAsia"/>
          <w:bCs/>
          <w:color w:val="auto"/>
          <w:sz w:val="24"/>
          <w:szCs w:val="24"/>
          <w:highlight w:val="none"/>
          <w:lang w:val="en-US" w:eastAsia="zh-CN"/>
        </w:rPr>
        <w:t>平面布置见附图2</w:t>
      </w:r>
      <w:r>
        <w:rPr>
          <w:rFonts w:hint="eastAsia" w:ascii="Times New Roman" w:hAnsi="Times New Roman" w:eastAsiaTheme="minorEastAsia"/>
          <w:bCs/>
          <w:color w:val="auto"/>
          <w:sz w:val="24"/>
          <w:szCs w:val="24"/>
          <w:highlight w:val="none"/>
          <w:lang w:eastAsia="zh-CN"/>
        </w:rPr>
        <w:t>。</w:t>
      </w:r>
    </w:p>
    <w:p w14:paraId="209EAA46">
      <w:pPr>
        <w:pStyle w:val="6"/>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rPr>
      </w:pPr>
      <w:r>
        <w:rPr>
          <w:rFonts w:hint="eastAsia"/>
          <w:color w:val="auto"/>
          <w:highlight w:val="none"/>
        </w:rPr>
        <w:t>3.2.</w:t>
      </w:r>
      <w:r>
        <w:rPr>
          <w:rFonts w:hint="eastAsia"/>
          <w:color w:val="auto"/>
          <w:highlight w:val="none"/>
          <w:lang w:val="en-US" w:eastAsia="zh-CN"/>
        </w:rPr>
        <w:t>4</w:t>
      </w:r>
      <w:r>
        <w:rPr>
          <w:rFonts w:hint="eastAsia"/>
          <w:color w:val="auto"/>
          <w:highlight w:val="none"/>
        </w:rPr>
        <w:t>项目建设内容</w:t>
      </w:r>
    </w:p>
    <w:p w14:paraId="2E0EDD0B">
      <w:pPr>
        <w:pStyle w:val="2"/>
        <w:keepNext w:val="0"/>
        <w:keepLines w:val="0"/>
        <w:pageBreakBefore w:val="0"/>
        <w:kinsoku/>
        <w:wordWrap/>
        <w:overflowPunct/>
        <w:topLinePunct w:val="0"/>
        <w:bidi w:val="0"/>
        <w:adjustRightInd w:val="0"/>
        <w:snapToGrid/>
        <w:spacing w:beforeLines="0" w:afterLines="0" w:line="360" w:lineRule="auto"/>
        <w:ind w:firstLine="480"/>
        <w:jc w:val="both"/>
        <w:rPr>
          <w:rFonts w:hint="eastAsia" w:ascii="Times New Roman" w:hAnsi="Times New Roman" w:eastAsiaTheme="minorEastAsia"/>
          <w:bCs/>
          <w:color w:val="auto"/>
          <w:sz w:val="24"/>
          <w:szCs w:val="24"/>
          <w:highlight w:val="none"/>
          <w:lang w:val="en-US" w:eastAsia="zh-CN"/>
        </w:rPr>
      </w:pPr>
      <w:r>
        <w:rPr>
          <w:rFonts w:hint="eastAsia" w:ascii="Times New Roman" w:hAnsi="Times New Roman"/>
          <w:color w:val="000000" w:themeColor="text1"/>
          <w:sz w:val="24"/>
          <w:szCs w:val="24"/>
          <w:highlight w:val="none"/>
          <w:lang w:val="en-US" w:eastAsia="zh-CN"/>
          <w14:textFill>
            <w14:solidFill>
              <w14:schemeClr w14:val="tx1"/>
            </w14:solidFill>
          </w14:textFill>
        </w:rPr>
        <w:t>本项目依托租赁场区现有建构筑物进行生产</w:t>
      </w:r>
      <w:r>
        <w:rPr>
          <w:rFonts w:hint="eastAsia" w:ascii="Times New Roman" w:hAnsi="Times New Roman"/>
          <w:color w:val="000000" w:themeColor="text1"/>
          <w:sz w:val="24"/>
          <w:szCs w:val="24"/>
          <w:highlight w:val="none"/>
          <w14:textFill>
            <w14:solidFill>
              <w14:schemeClr w14:val="tx1"/>
            </w14:solidFill>
          </w14:textFill>
        </w:rPr>
        <w:t>，</w:t>
      </w:r>
      <w:r>
        <w:rPr>
          <w:rFonts w:ascii="Times New Roman" w:hAnsi="Times New Roman"/>
          <w:color w:val="000000" w:themeColor="text1"/>
          <w:sz w:val="24"/>
          <w:szCs w:val="24"/>
          <w:highlight w:val="none"/>
          <w14:textFill>
            <w14:solidFill>
              <w14:schemeClr w14:val="tx1"/>
            </w14:solidFill>
          </w14:textFill>
        </w:rPr>
        <w:t>总建筑面积</w:t>
      </w:r>
      <w:r>
        <w:rPr>
          <w:rFonts w:hint="eastAsia" w:ascii="Times New Roman" w:hAnsi="Times New Roman"/>
          <w:color w:val="000000" w:themeColor="text1"/>
          <w:sz w:val="24"/>
          <w:szCs w:val="24"/>
          <w:highlight w:val="none"/>
          <w:lang w:val="en-US" w:eastAsia="zh-CN"/>
          <w14:textFill>
            <w14:solidFill>
              <w14:schemeClr w14:val="tx1"/>
            </w14:solidFill>
          </w14:textFill>
        </w:rPr>
        <w:t>1408</w:t>
      </w:r>
      <w:r>
        <w:rPr>
          <w:rFonts w:ascii="Times New Roman" w:hAnsi="Times New Roman"/>
          <w:color w:val="000000" w:themeColor="text1"/>
          <w:sz w:val="24"/>
          <w:szCs w:val="24"/>
          <w:highlight w:val="none"/>
          <w14:textFill>
            <w14:solidFill>
              <w14:schemeClr w14:val="tx1"/>
            </w14:solidFill>
          </w14:textFill>
        </w:rPr>
        <w:t>m</w:t>
      </w:r>
      <w:r>
        <w:rPr>
          <w:rFonts w:ascii="Times New Roman" w:hAnsi="Times New Roman"/>
          <w:color w:val="000000" w:themeColor="text1"/>
          <w:sz w:val="24"/>
          <w:szCs w:val="24"/>
          <w:highlight w:val="none"/>
          <w:vertAlign w:val="superscript"/>
          <w14:textFill>
            <w14:solidFill>
              <w14:schemeClr w14:val="tx1"/>
            </w14:solidFill>
          </w14:textFill>
        </w:rPr>
        <w:t>2</w:t>
      </w:r>
      <w:r>
        <w:rPr>
          <w:rFonts w:ascii="Times New Roman" w:hAnsi="Times New Roman"/>
          <w:color w:val="000000" w:themeColor="text1"/>
          <w:sz w:val="24"/>
          <w:szCs w:val="24"/>
          <w:highlight w:val="none"/>
          <w14:textFill>
            <w14:solidFill>
              <w14:schemeClr w14:val="tx1"/>
            </w14:solidFill>
          </w14:textFill>
        </w:rPr>
        <w:t>。</w:t>
      </w:r>
      <w:r>
        <w:rPr>
          <w:rFonts w:hint="eastAsia" w:ascii="Times New Roman" w:hAnsi="Times New Roman"/>
          <w:color w:val="000000" w:themeColor="text1"/>
          <w:sz w:val="24"/>
          <w:szCs w:val="24"/>
          <w:highlight w:val="none"/>
          <w:lang w:val="en-US" w:eastAsia="zh-CN"/>
          <w14:textFill>
            <w14:solidFill>
              <w14:schemeClr w14:val="tx1"/>
            </w14:solidFill>
          </w14:textFill>
        </w:rPr>
        <w:t>项目</w:t>
      </w:r>
      <w:r>
        <w:rPr>
          <w:rFonts w:ascii="Times New Roman" w:hAnsi="Times New Roman"/>
          <w:color w:val="000000" w:themeColor="text1"/>
          <w:sz w:val="24"/>
          <w:szCs w:val="24"/>
          <w:highlight w:val="none"/>
          <w14:textFill>
            <w14:solidFill>
              <w14:schemeClr w14:val="tx1"/>
            </w14:solidFill>
          </w14:textFill>
        </w:rPr>
        <w:t>主要建设内容见下表</w:t>
      </w:r>
      <w:r>
        <w:rPr>
          <w:rFonts w:hint="eastAsia" w:ascii="Times New Roman" w:hAnsi="Times New Roman" w:eastAsiaTheme="minorEastAsia"/>
          <w:bCs/>
          <w:color w:val="auto"/>
          <w:sz w:val="24"/>
          <w:szCs w:val="24"/>
          <w:highlight w:val="none"/>
          <w:lang w:val="en-US" w:eastAsia="zh-CN"/>
        </w:rPr>
        <w:t>见表3-1。</w:t>
      </w:r>
    </w:p>
    <w:p w14:paraId="23DFCDB3">
      <w:pPr>
        <w:spacing w:line="440" w:lineRule="exact"/>
        <w:ind w:firstLine="480" w:firstLineChars="200"/>
        <w:rPr>
          <w:rFonts w:ascii="Times New Roman" w:hAnsi="Times New Roman" w:eastAsiaTheme="minorEastAsia"/>
          <w:color w:val="auto"/>
          <w:sz w:val="24"/>
          <w:szCs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6EBEF36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Times New Roman" w:hAnsi="Times New Roman" w:eastAsiaTheme="minorEastAsia"/>
          <w:b/>
          <w:color w:val="auto"/>
          <w:sz w:val="24"/>
          <w:szCs w:val="24"/>
          <w:highlight w:val="none"/>
        </w:rPr>
      </w:pPr>
      <w:r>
        <w:rPr>
          <w:rFonts w:hint="eastAsia" w:ascii="Times New Roman" w:hAnsi="Times New Roman" w:eastAsiaTheme="minorEastAsia"/>
          <w:b/>
          <w:color w:val="auto"/>
          <w:sz w:val="24"/>
          <w:szCs w:val="24"/>
          <w:highlight w:val="none"/>
        </w:rPr>
        <w:t>表3-</w:t>
      </w:r>
      <w:r>
        <w:rPr>
          <w:rFonts w:hint="eastAsia" w:ascii="Times New Roman" w:hAnsi="Times New Roman" w:eastAsiaTheme="minorEastAsia"/>
          <w:b/>
          <w:color w:val="auto"/>
          <w:sz w:val="24"/>
          <w:szCs w:val="24"/>
          <w:highlight w:val="none"/>
          <w:lang w:val="en-US" w:eastAsia="zh-CN"/>
        </w:rPr>
        <w:t>1</w:t>
      </w:r>
      <w:r>
        <w:rPr>
          <w:rFonts w:hint="eastAsia" w:ascii="Times New Roman" w:hAnsi="Times New Roman" w:eastAsiaTheme="minorEastAsia"/>
          <w:b/>
          <w:color w:val="auto"/>
          <w:sz w:val="24"/>
          <w:szCs w:val="24"/>
          <w:highlight w:val="none"/>
        </w:rPr>
        <w:t>项目主要建设内容</w:t>
      </w:r>
    </w:p>
    <w:tbl>
      <w:tblPr>
        <w:tblStyle w:val="32"/>
        <w:tblW w:w="14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1114"/>
        <w:gridCol w:w="1079"/>
        <w:gridCol w:w="961"/>
        <w:gridCol w:w="3606"/>
        <w:gridCol w:w="1231"/>
        <w:gridCol w:w="927"/>
        <w:gridCol w:w="3150"/>
        <w:gridCol w:w="1439"/>
      </w:tblGrid>
      <w:tr w14:paraId="6E0FD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70" w:type="dxa"/>
            <w:vAlign w:val="center"/>
          </w:tcPr>
          <w:p w14:paraId="6452B150">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bCs w:val="0"/>
                <w:color w:val="auto"/>
                <w:sz w:val="21"/>
                <w:szCs w:val="21"/>
                <w:highlight w:val="none"/>
              </w:rPr>
            </w:pPr>
            <w:r>
              <w:rPr>
                <w:rFonts w:hint="default" w:ascii="Times New Roman" w:hAnsi="Times New Roman" w:eastAsia="宋体" w:cs="Times New Roman"/>
                <w:color w:val="000000"/>
                <w:sz w:val="21"/>
                <w:szCs w:val="21"/>
                <w:highlight w:val="none"/>
              </w:rPr>
              <w:t>工程组成</w:t>
            </w:r>
          </w:p>
        </w:tc>
        <w:tc>
          <w:tcPr>
            <w:tcW w:w="1114" w:type="dxa"/>
            <w:vAlign w:val="center"/>
          </w:tcPr>
          <w:p w14:paraId="612EAD19">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名称</w:t>
            </w:r>
          </w:p>
        </w:tc>
        <w:tc>
          <w:tcPr>
            <w:tcW w:w="5646" w:type="dxa"/>
            <w:gridSpan w:val="3"/>
            <w:vAlign w:val="center"/>
          </w:tcPr>
          <w:p w14:paraId="5D5DFC62">
            <w:pPr>
              <w:pStyle w:val="53"/>
              <w:keepNext w:val="0"/>
              <w:keepLines w:val="0"/>
              <w:pageBreakBefore w:val="0"/>
              <w:widowControl w:val="0"/>
              <w:kinsoku/>
              <w:wordWrap/>
              <w:overflowPunct/>
              <w:topLinePunct w:val="0"/>
              <w:autoSpaceDE/>
              <w:autoSpaceDN/>
              <w:bidi w:val="0"/>
              <w:snapToGrid w:val="0"/>
              <w:spacing w:line="360" w:lineRule="exact"/>
              <w:ind w:firstLine="420"/>
              <w:jc w:val="center"/>
              <w:textAlignment w:val="auto"/>
              <w:rPr>
                <w:rFonts w:hint="default" w:ascii="Times New Roman" w:hAnsi="Times New Roman" w:eastAsia="宋体" w:cs="Times New Roman"/>
                <w:bCs w:val="0"/>
                <w:color w:val="auto"/>
                <w:sz w:val="21"/>
                <w:szCs w:val="21"/>
                <w:highlight w:val="none"/>
              </w:rPr>
            </w:pPr>
            <w:r>
              <w:rPr>
                <w:rFonts w:hint="default" w:ascii="Times New Roman" w:hAnsi="Times New Roman" w:eastAsia="宋体" w:cs="Times New Roman"/>
                <w:bCs w:val="0"/>
                <w:color w:val="auto"/>
                <w:sz w:val="21"/>
                <w:szCs w:val="21"/>
                <w:highlight w:val="none"/>
              </w:rPr>
              <w:t>环评设计内容</w:t>
            </w:r>
          </w:p>
        </w:tc>
        <w:tc>
          <w:tcPr>
            <w:tcW w:w="5308" w:type="dxa"/>
            <w:gridSpan w:val="3"/>
            <w:vAlign w:val="center"/>
          </w:tcPr>
          <w:p w14:paraId="27ED3AFC">
            <w:pPr>
              <w:pStyle w:val="53"/>
              <w:keepNext w:val="0"/>
              <w:keepLines w:val="0"/>
              <w:pageBreakBefore w:val="0"/>
              <w:widowControl w:val="0"/>
              <w:kinsoku/>
              <w:wordWrap/>
              <w:overflowPunct/>
              <w:topLinePunct w:val="0"/>
              <w:autoSpaceDE/>
              <w:autoSpaceDN/>
              <w:bidi w:val="0"/>
              <w:spacing w:line="360" w:lineRule="exact"/>
              <w:ind w:firstLineChars="0"/>
              <w:jc w:val="center"/>
              <w:textAlignment w:val="auto"/>
              <w:rPr>
                <w:rFonts w:hint="default" w:ascii="Times New Roman" w:hAnsi="Times New Roman" w:eastAsia="宋体" w:cs="Times New Roman"/>
                <w:bCs w:val="0"/>
                <w:color w:val="auto"/>
                <w:sz w:val="21"/>
                <w:szCs w:val="21"/>
                <w:highlight w:val="none"/>
              </w:rPr>
            </w:pPr>
            <w:r>
              <w:rPr>
                <w:rFonts w:hint="default" w:ascii="Times New Roman" w:hAnsi="Times New Roman" w:eastAsia="宋体" w:cs="Times New Roman"/>
                <w:bCs w:val="0"/>
                <w:color w:val="auto"/>
                <w:sz w:val="21"/>
                <w:szCs w:val="21"/>
                <w:highlight w:val="none"/>
              </w:rPr>
              <w:t>实际建设内容</w:t>
            </w:r>
          </w:p>
        </w:tc>
        <w:tc>
          <w:tcPr>
            <w:tcW w:w="1439" w:type="dxa"/>
            <w:vAlign w:val="center"/>
          </w:tcPr>
          <w:p w14:paraId="37E7B72C">
            <w:pPr>
              <w:pStyle w:val="53"/>
              <w:keepNext w:val="0"/>
              <w:keepLines w:val="0"/>
              <w:pageBreakBefore w:val="0"/>
              <w:widowControl w:val="0"/>
              <w:kinsoku/>
              <w:wordWrap/>
              <w:overflowPunct/>
              <w:topLinePunct w:val="0"/>
              <w:autoSpaceDE/>
              <w:autoSpaceDN/>
              <w:bidi w:val="0"/>
              <w:spacing w:line="360" w:lineRule="exact"/>
              <w:ind w:firstLineChars="0"/>
              <w:jc w:val="center"/>
              <w:textAlignment w:val="auto"/>
              <w:rPr>
                <w:rFonts w:hint="default" w:ascii="Times New Roman" w:hAnsi="Times New Roman" w:eastAsia="宋体" w:cs="Times New Roman"/>
                <w:bCs w:val="0"/>
                <w:color w:val="auto"/>
                <w:sz w:val="21"/>
                <w:szCs w:val="21"/>
                <w:highlight w:val="none"/>
              </w:rPr>
            </w:pPr>
            <w:r>
              <w:rPr>
                <w:rFonts w:hint="default" w:ascii="Times New Roman" w:hAnsi="Times New Roman" w:eastAsia="宋体" w:cs="Times New Roman"/>
                <w:bCs w:val="0"/>
                <w:color w:val="auto"/>
                <w:sz w:val="21"/>
                <w:szCs w:val="21"/>
                <w:highlight w:val="none"/>
              </w:rPr>
              <w:t>一致性分析</w:t>
            </w:r>
          </w:p>
        </w:tc>
      </w:tr>
      <w:tr w14:paraId="42E07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70" w:type="dxa"/>
            <w:vMerge w:val="restart"/>
            <w:vAlign w:val="center"/>
          </w:tcPr>
          <w:p w14:paraId="0C45D387">
            <w:pPr>
              <w:pStyle w:val="53"/>
              <w:keepNext w:val="0"/>
              <w:keepLines w:val="0"/>
              <w:pageBreakBefore w:val="0"/>
              <w:widowControl w:val="0"/>
              <w:kinsoku/>
              <w:wordWrap/>
              <w:overflowPunct/>
              <w:topLinePunct w:val="0"/>
              <w:autoSpaceDE/>
              <w:autoSpaceDN/>
              <w:bidi w:val="0"/>
              <w:snapToGrid w:val="0"/>
              <w:spacing w:line="360" w:lineRule="exact"/>
              <w:ind w:firstLineChars="0"/>
              <w:jc w:val="both"/>
              <w:textAlignment w:val="auto"/>
              <w:rPr>
                <w:rFonts w:hint="default" w:ascii="Times New Roman" w:hAnsi="Times New Roman" w:eastAsia="宋体" w:cs="Times New Roman"/>
                <w:bCs w:val="0"/>
                <w:color w:val="auto"/>
                <w:sz w:val="21"/>
                <w:szCs w:val="21"/>
                <w:highlight w:val="none"/>
              </w:rPr>
            </w:pPr>
            <w:r>
              <w:rPr>
                <w:rFonts w:hint="default" w:ascii="Times New Roman" w:hAnsi="Times New Roman" w:eastAsia="宋体" w:cs="Times New Roman"/>
                <w:bCs w:val="0"/>
                <w:color w:val="auto"/>
                <w:sz w:val="21"/>
                <w:szCs w:val="21"/>
                <w:highlight w:val="none"/>
              </w:rPr>
              <w:t>主体工程</w:t>
            </w:r>
          </w:p>
        </w:tc>
        <w:tc>
          <w:tcPr>
            <w:tcW w:w="1114" w:type="dxa"/>
            <w:shd w:val="clear" w:color="auto" w:fill="auto"/>
            <w:vAlign w:val="center"/>
          </w:tcPr>
          <w:p w14:paraId="2FD74995">
            <w:pPr>
              <w:keepNext w:val="0"/>
              <w:keepLines w:val="0"/>
              <w:pageBreakBefore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w:t>
            </w:r>
            <w:r>
              <w:rPr>
                <w:rFonts w:hint="default" w:ascii="Times New Roman" w:hAnsi="Times New Roman" w:eastAsia="宋体" w:cs="Times New Roman"/>
                <w:color w:val="auto"/>
                <w:szCs w:val="21"/>
                <w:highlight w:val="none"/>
                <w:lang w:val="en-US" w:eastAsia="zh-CN"/>
              </w:rPr>
              <w:t>生产</w:t>
            </w:r>
            <w:r>
              <w:rPr>
                <w:rFonts w:hint="eastAsia" w:ascii="Times New Roman" w:hAnsi="Times New Roman" w:eastAsia="宋体" w:cs="Times New Roman"/>
                <w:color w:val="auto"/>
                <w:szCs w:val="21"/>
                <w:highlight w:val="none"/>
                <w:lang w:val="en-US" w:eastAsia="zh-CN"/>
              </w:rPr>
              <w:t>厂房</w:t>
            </w:r>
          </w:p>
        </w:tc>
        <w:tc>
          <w:tcPr>
            <w:tcW w:w="5646" w:type="dxa"/>
            <w:gridSpan w:val="3"/>
            <w:shd w:val="clear" w:color="auto" w:fill="auto"/>
            <w:vAlign w:val="center"/>
          </w:tcPr>
          <w:p w14:paraId="2A06D2A2">
            <w:pPr>
              <w:keepNext w:val="0"/>
              <w:keepLines w:val="0"/>
              <w:pageBreakBefore w:val="0"/>
              <w:kinsoku/>
              <w:wordWrap/>
              <w:overflowPunct/>
              <w:topLinePunct w:val="0"/>
              <w:autoSpaceDE/>
              <w:autoSpaceDN/>
              <w:bidi w:val="0"/>
              <w:adjustRightInd w:val="0"/>
              <w:snapToGrid w:val="0"/>
              <w:spacing w:line="360" w:lineRule="exact"/>
              <w:jc w:val="left"/>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厂房砖混结构</w:t>
            </w:r>
            <w:r>
              <w:rPr>
                <w:rFonts w:hint="default" w:ascii="Times New Roman" w:hAnsi="Times New Roman" w:eastAsia="宋体"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厂房西侧为前处理生产车间，内置1条阳极氧化生产线，阳极氧化生产线所有池体全部架空设置，生产线废水输送管道均设置于地上，做到全部可视，池体采用PP塑料材质，池体外围设置明沟，做防腐防渗处理，加盖篦子，收集洒落槽液；明沟外设置15~20cm围堰，做到车间干湿分区；厂房东侧为抛光生产车间，内置12台抛光机</w:t>
            </w:r>
          </w:p>
        </w:tc>
        <w:tc>
          <w:tcPr>
            <w:tcW w:w="5308" w:type="dxa"/>
            <w:gridSpan w:val="3"/>
            <w:shd w:val="clear" w:color="auto" w:fill="auto"/>
            <w:vAlign w:val="center"/>
          </w:tcPr>
          <w:p w14:paraId="00EAE1DF">
            <w:pPr>
              <w:keepNext w:val="0"/>
              <w:keepLines w:val="0"/>
              <w:pageBreakBefore w:val="0"/>
              <w:kinsoku/>
              <w:wordWrap/>
              <w:overflowPunct/>
              <w:topLinePunct w:val="0"/>
              <w:autoSpaceDE/>
              <w:autoSpaceDN/>
              <w:bidi w:val="0"/>
              <w:adjustRightInd w:val="0"/>
              <w:snapToGrid w:val="0"/>
              <w:spacing w:line="360" w:lineRule="exact"/>
              <w:jc w:val="left"/>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厂房砖混结构</w:t>
            </w:r>
            <w:r>
              <w:rPr>
                <w:rFonts w:hint="default" w:ascii="Times New Roman" w:hAnsi="Times New Roman" w:eastAsia="宋体"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厂房西侧为前处理生产车间，内置1条阳极氧化生产线，阳极氧化生产线所有池体全部架空设置，生产线废水输送管道均设置于地上，做到全部可视，池体采用PP塑料材质，池体外围设置明沟，做防腐防渗处理，加盖篦子，收集洒落槽液；明沟外设置15~20cm围堰，做到车间干湿分区；厂房东侧为抛光生产车间，内置12台抛光机</w:t>
            </w:r>
          </w:p>
        </w:tc>
        <w:tc>
          <w:tcPr>
            <w:tcW w:w="1439" w:type="dxa"/>
            <w:vAlign w:val="center"/>
          </w:tcPr>
          <w:p w14:paraId="6923CD5F">
            <w:pPr>
              <w:pStyle w:val="53"/>
              <w:keepNext w:val="0"/>
              <w:keepLines w:val="0"/>
              <w:pageBreakBefore w:val="0"/>
              <w:widowControl w:val="0"/>
              <w:kinsoku/>
              <w:wordWrap/>
              <w:overflowPunct/>
              <w:topLinePunct w:val="0"/>
              <w:autoSpaceDE/>
              <w:autoSpaceDN/>
              <w:bidi w:val="0"/>
              <w:spacing w:line="360" w:lineRule="exact"/>
              <w:ind w:firstLineChars="0"/>
              <w:jc w:val="center"/>
              <w:textAlignment w:val="auto"/>
              <w:rPr>
                <w:rFonts w:hint="default" w:ascii="Times New Roman" w:hAnsi="Times New Roman" w:eastAsia="宋体" w:cs="Times New Roman"/>
                <w:bCs w:val="0"/>
                <w:color w:val="auto"/>
                <w:sz w:val="21"/>
                <w:szCs w:val="21"/>
                <w:highlight w:val="none"/>
                <w:lang w:val="en-US" w:eastAsia="zh-CN"/>
              </w:rPr>
            </w:pPr>
            <w:r>
              <w:rPr>
                <w:rFonts w:hint="eastAsia" w:ascii="Times New Roman" w:hAnsi="Times New Roman" w:eastAsia="宋体" w:cs="Times New Roman"/>
                <w:bCs w:val="0"/>
                <w:color w:val="auto"/>
                <w:sz w:val="21"/>
                <w:szCs w:val="21"/>
                <w:highlight w:val="none"/>
                <w:lang w:val="en-US" w:eastAsia="zh-CN"/>
              </w:rPr>
              <w:t>一致</w:t>
            </w:r>
          </w:p>
        </w:tc>
      </w:tr>
      <w:tr w14:paraId="0E882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70" w:type="dxa"/>
            <w:vMerge w:val="continue"/>
            <w:vAlign w:val="center"/>
          </w:tcPr>
          <w:p w14:paraId="3B6E75A1">
            <w:pPr>
              <w:pStyle w:val="53"/>
              <w:keepNext w:val="0"/>
              <w:keepLines w:val="0"/>
              <w:pageBreakBefore w:val="0"/>
              <w:widowControl w:val="0"/>
              <w:kinsoku/>
              <w:wordWrap/>
              <w:overflowPunct/>
              <w:topLinePunct w:val="0"/>
              <w:autoSpaceDE/>
              <w:autoSpaceDN/>
              <w:bidi w:val="0"/>
              <w:snapToGrid w:val="0"/>
              <w:spacing w:line="360" w:lineRule="exact"/>
              <w:ind w:firstLineChars="0"/>
              <w:jc w:val="both"/>
              <w:textAlignment w:val="auto"/>
              <w:rPr>
                <w:rFonts w:hint="default" w:ascii="Times New Roman" w:hAnsi="Times New Roman" w:eastAsia="宋体" w:cs="Times New Roman"/>
                <w:bCs w:val="0"/>
                <w:color w:val="auto"/>
                <w:sz w:val="21"/>
                <w:szCs w:val="21"/>
                <w:highlight w:val="none"/>
              </w:rPr>
            </w:pPr>
          </w:p>
        </w:tc>
        <w:tc>
          <w:tcPr>
            <w:tcW w:w="1114" w:type="dxa"/>
            <w:shd w:val="clear" w:color="auto" w:fill="auto"/>
            <w:vAlign w:val="center"/>
          </w:tcPr>
          <w:p w14:paraId="5344C2D5">
            <w:pPr>
              <w:keepNext w:val="0"/>
              <w:keepLines w:val="0"/>
              <w:pageBreakBefore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组装车间</w:t>
            </w:r>
          </w:p>
        </w:tc>
        <w:tc>
          <w:tcPr>
            <w:tcW w:w="5646" w:type="dxa"/>
            <w:gridSpan w:val="3"/>
            <w:shd w:val="clear" w:color="auto" w:fill="auto"/>
            <w:vAlign w:val="center"/>
          </w:tcPr>
          <w:p w14:paraId="142F461F">
            <w:pPr>
              <w:keepNext w:val="0"/>
              <w:keepLines w:val="0"/>
              <w:pageBreakBefore w:val="0"/>
              <w:kinsoku/>
              <w:wordWrap/>
              <w:overflowPunct/>
              <w:topLinePunct w:val="0"/>
              <w:autoSpaceDE/>
              <w:autoSpaceDN/>
              <w:bidi w:val="0"/>
              <w:adjustRightInd w:val="0"/>
              <w:snapToGrid w:val="0"/>
              <w:spacing w:line="360" w:lineRule="exact"/>
              <w:jc w:val="left"/>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砖混结构</w:t>
            </w:r>
            <w:r>
              <w:rPr>
                <w:rFonts w:hint="default" w:ascii="Times New Roman" w:hAnsi="Times New Roman" w:eastAsia="宋体"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主要用于羊肉片机的人工组装</w:t>
            </w:r>
          </w:p>
        </w:tc>
        <w:tc>
          <w:tcPr>
            <w:tcW w:w="5308" w:type="dxa"/>
            <w:gridSpan w:val="3"/>
            <w:shd w:val="clear" w:color="auto" w:fill="auto"/>
            <w:vAlign w:val="center"/>
          </w:tcPr>
          <w:p w14:paraId="42CDC375">
            <w:pPr>
              <w:keepNext w:val="0"/>
              <w:keepLines w:val="0"/>
              <w:pageBreakBefore w:val="0"/>
              <w:kinsoku/>
              <w:wordWrap/>
              <w:overflowPunct/>
              <w:topLinePunct w:val="0"/>
              <w:autoSpaceDE/>
              <w:autoSpaceDN/>
              <w:bidi w:val="0"/>
              <w:adjustRightInd w:val="0"/>
              <w:snapToGrid w:val="0"/>
              <w:spacing w:line="360" w:lineRule="exact"/>
              <w:jc w:val="left"/>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砖混结构</w:t>
            </w:r>
            <w:r>
              <w:rPr>
                <w:rFonts w:hint="default" w:ascii="Times New Roman" w:hAnsi="Times New Roman" w:eastAsia="宋体" w:cs="Times New Roman"/>
                <w:color w:val="auto"/>
                <w:szCs w:val="21"/>
                <w:highlight w:val="none"/>
                <w:lang w:val="en-US" w:eastAsia="zh-CN"/>
              </w:rPr>
              <w:t>，</w:t>
            </w:r>
            <w:r>
              <w:rPr>
                <w:rFonts w:hint="eastAsia" w:ascii="Times New Roman" w:hAnsi="Times New Roman" w:eastAsia="宋体" w:cs="Times New Roman"/>
                <w:color w:val="auto"/>
                <w:szCs w:val="21"/>
                <w:highlight w:val="none"/>
                <w:lang w:val="en-US" w:eastAsia="zh-CN"/>
              </w:rPr>
              <w:t>主要用于羊肉片机的人工组装</w:t>
            </w:r>
          </w:p>
        </w:tc>
        <w:tc>
          <w:tcPr>
            <w:tcW w:w="1439" w:type="dxa"/>
            <w:vAlign w:val="center"/>
          </w:tcPr>
          <w:p w14:paraId="3C721EBA">
            <w:pPr>
              <w:keepNext w:val="0"/>
              <w:keepLines w:val="0"/>
              <w:pageBreakBefore w:val="0"/>
              <w:widowControl w:val="0"/>
              <w:kinsoku/>
              <w:wordWrap/>
              <w:overflowPunct/>
              <w:topLinePunct w:val="0"/>
              <w:autoSpaceDE/>
              <w:autoSpaceDN/>
              <w:bidi w:val="0"/>
              <w:spacing w:line="360" w:lineRule="exact"/>
              <w:ind w:firstLineChars="0"/>
              <w:jc w:val="center"/>
              <w:textAlignment w:val="auto"/>
              <w:rPr>
                <w:rFonts w:hint="eastAsia" w:ascii="Times New Roman" w:hAnsi="Times New Roman" w:eastAsia="宋体" w:cs="Times New Roman"/>
                <w:bCs w:val="0"/>
                <w:color w:val="auto"/>
                <w:sz w:val="21"/>
                <w:szCs w:val="21"/>
                <w:highlight w:val="none"/>
                <w:lang w:val="en-US" w:eastAsia="zh-CN"/>
              </w:rPr>
            </w:pPr>
            <w:r>
              <w:rPr>
                <w:rFonts w:hint="eastAsia" w:ascii="Times New Roman" w:hAnsi="Times New Roman" w:eastAsia="宋体" w:cs="Times New Roman"/>
                <w:bCs w:val="0"/>
                <w:color w:val="auto"/>
                <w:sz w:val="21"/>
                <w:szCs w:val="21"/>
                <w:highlight w:val="none"/>
                <w:lang w:val="en-US" w:eastAsia="zh-CN"/>
              </w:rPr>
              <w:t>一致</w:t>
            </w:r>
          </w:p>
        </w:tc>
      </w:tr>
      <w:tr w14:paraId="00AB2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70" w:type="dxa"/>
            <w:vMerge w:val="restart"/>
            <w:vAlign w:val="center"/>
          </w:tcPr>
          <w:p w14:paraId="0D36DDFD">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储运工程</w:t>
            </w:r>
          </w:p>
        </w:tc>
        <w:tc>
          <w:tcPr>
            <w:tcW w:w="1114" w:type="dxa"/>
            <w:shd w:val="clear" w:color="000000" w:fill="auto"/>
            <w:vAlign w:val="center"/>
          </w:tcPr>
          <w:p w14:paraId="6C5A9BA4">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原料库</w:t>
            </w:r>
          </w:p>
        </w:tc>
        <w:tc>
          <w:tcPr>
            <w:tcW w:w="5646" w:type="dxa"/>
            <w:gridSpan w:val="3"/>
            <w:shd w:val="clear" w:color="000000" w:fill="auto"/>
            <w:vAlign w:val="center"/>
          </w:tcPr>
          <w:p w14:paraId="02126036">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砖混结构</w:t>
            </w:r>
            <w:r>
              <w:rPr>
                <w:rFonts w:hint="default" w:ascii="Times New Roman" w:hAnsi="Times New Roman" w:eastAsia="宋体" w:cs="Times New Roman"/>
                <w:color w:val="000000"/>
                <w:sz w:val="21"/>
                <w:szCs w:val="21"/>
                <w:highlight w:val="none"/>
              </w:rPr>
              <w:t>，</w:t>
            </w:r>
            <w:r>
              <w:rPr>
                <w:rFonts w:hint="eastAsia" w:ascii="Times New Roman" w:hAnsi="Times New Roman" w:eastAsia="宋体" w:cs="Times New Roman"/>
                <w:color w:val="000000"/>
                <w:sz w:val="21"/>
                <w:szCs w:val="21"/>
                <w:highlight w:val="none"/>
                <w:lang w:val="en-US" w:eastAsia="zh-CN"/>
              </w:rPr>
              <w:t>主要用于储存外购的羊肉片机金属零部件</w:t>
            </w:r>
          </w:p>
        </w:tc>
        <w:tc>
          <w:tcPr>
            <w:tcW w:w="5308" w:type="dxa"/>
            <w:gridSpan w:val="3"/>
            <w:shd w:val="clear" w:color="000000" w:fill="auto"/>
            <w:vAlign w:val="center"/>
          </w:tcPr>
          <w:p w14:paraId="1EC4630F">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left"/>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砖混结构</w:t>
            </w:r>
            <w:r>
              <w:rPr>
                <w:rFonts w:hint="default" w:ascii="Times New Roman" w:hAnsi="Times New Roman" w:eastAsia="宋体" w:cs="Times New Roman"/>
                <w:color w:val="000000"/>
                <w:sz w:val="21"/>
                <w:szCs w:val="21"/>
                <w:highlight w:val="none"/>
              </w:rPr>
              <w:t>，</w:t>
            </w:r>
            <w:r>
              <w:rPr>
                <w:rFonts w:hint="eastAsia" w:ascii="Times New Roman" w:hAnsi="Times New Roman" w:eastAsia="宋体" w:cs="Times New Roman"/>
                <w:color w:val="000000"/>
                <w:sz w:val="21"/>
                <w:szCs w:val="21"/>
                <w:highlight w:val="none"/>
                <w:lang w:val="en-US" w:eastAsia="zh-CN"/>
              </w:rPr>
              <w:t>主要用于储存外购的羊肉片机金属零部件</w:t>
            </w:r>
          </w:p>
        </w:tc>
        <w:tc>
          <w:tcPr>
            <w:tcW w:w="1439" w:type="dxa"/>
            <w:vAlign w:val="center"/>
          </w:tcPr>
          <w:p w14:paraId="123F2AD8">
            <w:pPr>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bCs w:val="0"/>
                <w:color w:val="auto"/>
                <w:sz w:val="21"/>
                <w:szCs w:val="21"/>
                <w:highlight w:val="none"/>
                <w:lang w:val="en-US" w:eastAsia="zh-CN"/>
              </w:rPr>
              <w:t>一致</w:t>
            </w:r>
          </w:p>
        </w:tc>
      </w:tr>
      <w:tr w14:paraId="49000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70" w:type="dxa"/>
            <w:vMerge w:val="continue"/>
            <w:vAlign w:val="center"/>
          </w:tcPr>
          <w:p w14:paraId="35F30824">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rPr>
            </w:pPr>
          </w:p>
        </w:tc>
        <w:tc>
          <w:tcPr>
            <w:tcW w:w="1114" w:type="dxa"/>
            <w:shd w:val="clear" w:color="000000" w:fill="auto"/>
            <w:vAlign w:val="center"/>
          </w:tcPr>
          <w:p w14:paraId="5CECC35B">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化学品仓库</w:t>
            </w:r>
          </w:p>
        </w:tc>
        <w:tc>
          <w:tcPr>
            <w:tcW w:w="5646" w:type="dxa"/>
            <w:gridSpan w:val="3"/>
            <w:shd w:val="clear" w:color="000000" w:fill="auto"/>
            <w:vAlign w:val="center"/>
          </w:tcPr>
          <w:p w14:paraId="0634087E">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单层彩钢结构，位于原料库内西北角，地面做防腐防渗处理</w:t>
            </w:r>
          </w:p>
        </w:tc>
        <w:tc>
          <w:tcPr>
            <w:tcW w:w="5308" w:type="dxa"/>
            <w:gridSpan w:val="3"/>
            <w:shd w:val="clear" w:color="000000" w:fill="auto"/>
            <w:vAlign w:val="center"/>
          </w:tcPr>
          <w:p w14:paraId="14955A07">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left"/>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未建设，由于化学品用量较小，且从周边购买比较便利，因此不再建设化学品仓库，所需的化学品随用随买，不在厂区内储存</w:t>
            </w:r>
          </w:p>
        </w:tc>
        <w:tc>
          <w:tcPr>
            <w:tcW w:w="1439" w:type="dxa"/>
            <w:vAlign w:val="center"/>
          </w:tcPr>
          <w:p w14:paraId="2F5FEC0C">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不一致</w:t>
            </w:r>
          </w:p>
        </w:tc>
      </w:tr>
      <w:tr w14:paraId="73CCD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70" w:type="dxa"/>
            <w:vMerge w:val="continue"/>
            <w:vAlign w:val="center"/>
          </w:tcPr>
          <w:p w14:paraId="22AA28ED">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rPr>
            </w:pPr>
          </w:p>
        </w:tc>
        <w:tc>
          <w:tcPr>
            <w:tcW w:w="1114" w:type="dxa"/>
            <w:shd w:val="clear" w:color="000000" w:fill="auto"/>
            <w:vAlign w:val="center"/>
          </w:tcPr>
          <w:p w14:paraId="5664EA4A">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成品库</w:t>
            </w:r>
          </w:p>
        </w:tc>
        <w:tc>
          <w:tcPr>
            <w:tcW w:w="5646" w:type="dxa"/>
            <w:gridSpan w:val="3"/>
            <w:shd w:val="clear" w:color="000000" w:fill="auto"/>
            <w:vAlign w:val="center"/>
          </w:tcPr>
          <w:p w14:paraId="7C7F06CB">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砖混结构</w:t>
            </w:r>
            <w:r>
              <w:rPr>
                <w:rFonts w:hint="default" w:ascii="Times New Roman" w:hAnsi="Times New Roman" w:eastAsia="宋体" w:cs="Times New Roman"/>
                <w:color w:val="000000"/>
                <w:sz w:val="21"/>
                <w:szCs w:val="21"/>
                <w:highlight w:val="none"/>
              </w:rPr>
              <w:t>，</w:t>
            </w:r>
            <w:r>
              <w:rPr>
                <w:rFonts w:hint="eastAsia" w:ascii="Times New Roman" w:hAnsi="Times New Roman" w:eastAsia="宋体" w:cs="Times New Roman"/>
                <w:color w:val="000000"/>
                <w:sz w:val="21"/>
                <w:szCs w:val="21"/>
                <w:highlight w:val="none"/>
                <w:lang w:val="en-US" w:eastAsia="zh-CN"/>
              </w:rPr>
              <w:t>主要用于羊肉片机成品的存储</w:t>
            </w:r>
          </w:p>
        </w:tc>
        <w:tc>
          <w:tcPr>
            <w:tcW w:w="5308" w:type="dxa"/>
            <w:gridSpan w:val="3"/>
            <w:shd w:val="clear" w:color="000000" w:fill="auto"/>
            <w:vAlign w:val="center"/>
          </w:tcPr>
          <w:p w14:paraId="63697B28">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left"/>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砖混结构</w:t>
            </w:r>
            <w:r>
              <w:rPr>
                <w:rFonts w:hint="default" w:ascii="Times New Roman" w:hAnsi="Times New Roman" w:eastAsia="宋体" w:cs="Times New Roman"/>
                <w:color w:val="000000"/>
                <w:sz w:val="21"/>
                <w:szCs w:val="21"/>
                <w:highlight w:val="none"/>
              </w:rPr>
              <w:t>，</w:t>
            </w:r>
            <w:r>
              <w:rPr>
                <w:rFonts w:hint="eastAsia" w:ascii="Times New Roman" w:hAnsi="Times New Roman" w:eastAsia="宋体" w:cs="Times New Roman"/>
                <w:color w:val="000000"/>
                <w:sz w:val="21"/>
                <w:szCs w:val="21"/>
                <w:highlight w:val="none"/>
                <w:lang w:val="en-US" w:eastAsia="zh-CN"/>
              </w:rPr>
              <w:t>主要用于羊肉片机成品的存储</w:t>
            </w:r>
          </w:p>
        </w:tc>
        <w:tc>
          <w:tcPr>
            <w:tcW w:w="1439" w:type="dxa"/>
            <w:vAlign w:val="center"/>
          </w:tcPr>
          <w:p w14:paraId="0CEB5BA5">
            <w:pPr>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bCs w:val="0"/>
                <w:color w:val="auto"/>
                <w:sz w:val="21"/>
                <w:szCs w:val="21"/>
                <w:highlight w:val="none"/>
                <w:lang w:val="en-US" w:eastAsia="zh-CN"/>
              </w:rPr>
              <w:t>一致</w:t>
            </w:r>
          </w:p>
        </w:tc>
      </w:tr>
      <w:tr w14:paraId="450E4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70" w:type="dxa"/>
            <w:vMerge w:val="continue"/>
            <w:vAlign w:val="center"/>
          </w:tcPr>
          <w:p w14:paraId="459C5C7F">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rPr>
            </w:pPr>
          </w:p>
        </w:tc>
        <w:tc>
          <w:tcPr>
            <w:tcW w:w="1114" w:type="dxa"/>
            <w:shd w:val="clear" w:color="000000" w:fill="auto"/>
            <w:vAlign w:val="center"/>
          </w:tcPr>
          <w:p w14:paraId="26DB6E30">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一般固废储存库</w:t>
            </w:r>
          </w:p>
        </w:tc>
        <w:tc>
          <w:tcPr>
            <w:tcW w:w="5646" w:type="dxa"/>
            <w:gridSpan w:val="3"/>
            <w:shd w:val="clear" w:color="000000" w:fill="auto"/>
            <w:vAlign w:val="center"/>
          </w:tcPr>
          <w:p w14:paraId="7665DAE8">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砖混结构</w:t>
            </w:r>
            <w:r>
              <w:rPr>
                <w:rFonts w:hint="default" w:ascii="Times New Roman" w:hAnsi="Times New Roman" w:eastAsia="宋体" w:cs="Times New Roman"/>
                <w:color w:val="000000"/>
                <w:sz w:val="21"/>
                <w:szCs w:val="21"/>
                <w:highlight w:val="none"/>
              </w:rPr>
              <w:t>，</w:t>
            </w:r>
            <w:r>
              <w:rPr>
                <w:rFonts w:hint="eastAsia" w:ascii="Times New Roman" w:hAnsi="Times New Roman" w:eastAsia="宋体" w:cs="Times New Roman"/>
                <w:color w:val="000000"/>
                <w:sz w:val="21"/>
                <w:szCs w:val="21"/>
                <w:highlight w:val="none"/>
                <w:lang w:val="en-US" w:eastAsia="zh-CN"/>
              </w:rPr>
              <w:t>主要用于生产过程中产生的一般固废的储存</w:t>
            </w:r>
          </w:p>
        </w:tc>
        <w:tc>
          <w:tcPr>
            <w:tcW w:w="5308" w:type="dxa"/>
            <w:gridSpan w:val="3"/>
            <w:shd w:val="clear" w:color="000000" w:fill="auto"/>
            <w:vAlign w:val="center"/>
          </w:tcPr>
          <w:p w14:paraId="355F6CDA">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left"/>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砖混结构</w:t>
            </w:r>
            <w:r>
              <w:rPr>
                <w:rFonts w:hint="default" w:ascii="Times New Roman" w:hAnsi="Times New Roman" w:eastAsia="宋体" w:cs="Times New Roman"/>
                <w:color w:val="000000"/>
                <w:sz w:val="21"/>
                <w:szCs w:val="21"/>
                <w:highlight w:val="none"/>
              </w:rPr>
              <w:t>，</w:t>
            </w:r>
            <w:r>
              <w:rPr>
                <w:rFonts w:hint="eastAsia" w:ascii="Times New Roman" w:hAnsi="Times New Roman" w:eastAsia="宋体" w:cs="Times New Roman"/>
                <w:color w:val="000000"/>
                <w:sz w:val="21"/>
                <w:szCs w:val="21"/>
                <w:highlight w:val="none"/>
                <w:lang w:val="en-US" w:eastAsia="zh-CN"/>
              </w:rPr>
              <w:t>主要用于生产过程中产生的一般固废的储存</w:t>
            </w:r>
          </w:p>
        </w:tc>
        <w:tc>
          <w:tcPr>
            <w:tcW w:w="1439" w:type="dxa"/>
            <w:vAlign w:val="center"/>
          </w:tcPr>
          <w:p w14:paraId="516F93A4">
            <w:pPr>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bCs w:val="0"/>
                <w:color w:val="auto"/>
                <w:sz w:val="21"/>
                <w:szCs w:val="21"/>
                <w:highlight w:val="none"/>
                <w:lang w:val="en-US" w:eastAsia="zh-CN"/>
              </w:rPr>
              <w:t>一致</w:t>
            </w:r>
          </w:p>
        </w:tc>
      </w:tr>
      <w:tr w14:paraId="59F28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70" w:type="dxa"/>
            <w:shd w:val="clear" w:color="000000" w:fill="auto"/>
            <w:vAlign w:val="center"/>
          </w:tcPr>
          <w:p w14:paraId="4CA2C2FF">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辅助</w:t>
            </w:r>
            <w:r>
              <w:rPr>
                <w:rFonts w:hint="default" w:ascii="Times New Roman" w:hAnsi="Times New Roman" w:eastAsia="宋体" w:cs="Times New Roman"/>
                <w:color w:val="000000"/>
                <w:sz w:val="21"/>
                <w:szCs w:val="21"/>
                <w:highlight w:val="none"/>
              </w:rPr>
              <w:t>工程</w:t>
            </w:r>
          </w:p>
        </w:tc>
        <w:tc>
          <w:tcPr>
            <w:tcW w:w="1114" w:type="dxa"/>
            <w:shd w:val="clear" w:color="000000" w:fill="auto"/>
            <w:vAlign w:val="center"/>
          </w:tcPr>
          <w:p w14:paraId="5425DD67">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eastAsia"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rPr>
              <w:t>办公</w:t>
            </w:r>
            <w:r>
              <w:rPr>
                <w:rFonts w:hint="eastAsia" w:ascii="Times New Roman" w:hAnsi="Times New Roman" w:eastAsia="宋体" w:cs="Times New Roman"/>
                <w:color w:val="000000"/>
                <w:sz w:val="21"/>
                <w:szCs w:val="21"/>
                <w:highlight w:val="none"/>
                <w:lang w:val="en-US" w:eastAsia="zh-CN"/>
              </w:rPr>
              <w:t>室</w:t>
            </w:r>
          </w:p>
        </w:tc>
        <w:tc>
          <w:tcPr>
            <w:tcW w:w="5646" w:type="dxa"/>
            <w:gridSpan w:val="3"/>
            <w:shd w:val="clear" w:color="000000" w:fill="auto"/>
            <w:vAlign w:val="center"/>
          </w:tcPr>
          <w:p w14:paraId="24500BEB">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砖混结构</w:t>
            </w:r>
            <w:r>
              <w:rPr>
                <w:rFonts w:hint="default" w:ascii="Times New Roman" w:hAnsi="Times New Roman" w:eastAsia="宋体" w:cs="Times New Roman"/>
                <w:color w:val="000000"/>
                <w:sz w:val="21"/>
                <w:szCs w:val="21"/>
                <w:highlight w:val="none"/>
              </w:rPr>
              <w:t>，用于职工办公</w:t>
            </w:r>
          </w:p>
        </w:tc>
        <w:tc>
          <w:tcPr>
            <w:tcW w:w="5308" w:type="dxa"/>
            <w:gridSpan w:val="3"/>
            <w:shd w:val="clear" w:color="000000" w:fill="auto"/>
            <w:vAlign w:val="center"/>
          </w:tcPr>
          <w:p w14:paraId="54B6686C">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left"/>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砖混结构</w:t>
            </w:r>
            <w:r>
              <w:rPr>
                <w:rFonts w:hint="default" w:ascii="Times New Roman" w:hAnsi="Times New Roman" w:eastAsia="宋体" w:cs="Times New Roman"/>
                <w:color w:val="000000"/>
                <w:sz w:val="21"/>
                <w:szCs w:val="21"/>
                <w:highlight w:val="none"/>
              </w:rPr>
              <w:t>，用于职工办公</w:t>
            </w:r>
          </w:p>
        </w:tc>
        <w:tc>
          <w:tcPr>
            <w:tcW w:w="1439" w:type="dxa"/>
            <w:vAlign w:val="center"/>
          </w:tcPr>
          <w:p w14:paraId="64BD6BE8">
            <w:pPr>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bCs w:val="0"/>
                <w:color w:val="auto"/>
                <w:sz w:val="21"/>
                <w:szCs w:val="21"/>
                <w:highlight w:val="none"/>
                <w:lang w:val="en-US" w:eastAsia="zh-CN"/>
              </w:rPr>
              <w:t>一致</w:t>
            </w:r>
          </w:p>
        </w:tc>
      </w:tr>
      <w:tr w14:paraId="4588E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70" w:type="dxa"/>
            <w:vMerge w:val="restart"/>
            <w:shd w:val="clear" w:color="000000" w:fill="auto"/>
            <w:vAlign w:val="center"/>
          </w:tcPr>
          <w:p w14:paraId="3D0D647E">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rPr>
              <w:t>公用工程</w:t>
            </w:r>
          </w:p>
        </w:tc>
        <w:tc>
          <w:tcPr>
            <w:tcW w:w="1114" w:type="dxa"/>
            <w:shd w:val="clear" w:color="000000" w:fill="auto"/>
            <w:vAlign w:val="center"/>
          </w:tcPr>
          <w:p w14:paraId="5C198317">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eastAsia"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rPr>
              <w:t>供水</w:t>
            </w:r>
          </w:p>
        </w:tc>
        <w:tc>
          <w:tcPr>
            <w:tcW w:w="5646" w:type="dxa"/>
            <w:gridSpan w:val="3"/>
            <w:shd w:val="clear" w:color="000000" w:fill="auto"/>
            <w:vAlign w:val="center"/>
          </w:tcPr>
          <w:p w14:paraId="6C1E779E">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eastAsia"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rPr>
              <w:t>引自</w:t>
            </w:r>
            <w:r>
              <w:rPr>
                <w:rFonts w:hint="eastAsia" w:ascii="Times New Roman" w:hAnsi="Times New Roman" w:eastAsia="宋体" w:cs="Times New Roman"/>
                <w:color w:val="000000"/>
                <w:sz w:val="21"/>
                <w:szCs w:val="21"/>
                <w:highlight w:val="none"/>
                <w:lang w:val="en-US" w:eastAsia="zh-CN"/>
              </w:rPr>
              <w:t>孙各庄村</w:t>
            </w:r>
            <w:r>
              <w:rPr>
                <w:rFonts w:hint="default" w:ascii="Times New Roman" w:hAnsi="Times New Roman" w:eastAsia="宋体" w:cs="Times New Roman"/>
                <w:color w:val="000000"/>
                <w:sz w:val="21"/>
                <w:szCs w:val="21"/>
                <w:highlight w:val="none"/>
              </w:rPr>
              <w:t>自来水管网，新鲜水用量为</w:t>
            </w:r>
            <w:r>
              <w:rPr>
                <w:rFonts w:hint="eastAsia" w:ascii="Times New Roman" w:hAnsi="Times New Roman" w:eastAsia="宋体" w:cs="Times New Roman"/>
                <w:color w:val="000000"/>
                <w:sz w:val="21"/>
                <w:szCs w:val="21"/>
                <w:highlight w:val="none"/>
                <w:lang w:val="en-US" w:eastAsia="zh-CN"/>
              </w:rPr>
              <w:t>710</w:t>
            </w:r>
            <w:r>
              <w:rPr>
                <w:rFonts w:hint="default" w:ascii="Times New Roman" w:hAnsi="Times New Roman" w:eastAsia="宋体" w:cs="Times New Roman"/>
                <w:color w:val="000000"/>
                <w:sz w:val="21"/>
                <w:szCs w:val="21"/>
                <w:highlight w:val="none"/>
              </w:rPr>
              <w:t>m</w:t>
            </w:r>
            <w:r>
              <w:rPr>
                <w:rFonts w:hint="default" w:ascii="Times New Roman" w:hAnsi="Times New Roman" w:eastAsia="宋体" w:cs="Times New Roman"/>
                <w:color w:val="000000"/>
                <w:sz w:val="21"/>
                <w:szCs w:val="21"/>
                <w:highlight w:val="none"/>
                <w:vertAlign w:val="superscript"/>
              </w:rPr>
              <w:t>3</w:t>
            </w:r>
            <w:r>
              <w:rPr>
                <w:rFonts w:hint="default" w:ascii="Times New Roman" w:hAnsi="Times New Roman" w:eastAsia="宋体" w:cs="Times New Roman"/>
                <w:color w:val="000000"/>
                <w:sz w:val="21"/>
                <w:szCs w:val="21"/>
                <w:highlight w:val="none"/>
              </w:rPr>
              <w:t>/a</w:t>
            </w:r>
          </w:p>
        </w:tc>
        <w:tc>
          <w:tcPr>
            <w:tcW w:w="5308" w:type="dxa"/>
            <w:gridSpan w:val="3"/>
            <w:shd w:val="clear" w:color="000000" w:fill="auto"/>
            <w:vAlign w:val="center"/>
          </w:tcPr>
          <w:p w14:paraId="56C8B0EB">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left"/>
              <w:textAlignment w:val="auto"/>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 w:val="21"/>
                <w:szCs w:val="21"/>
                <w:highlight w:val="none"/>
              </w:rPr>
              <w:t>引自</w:t>
            </w:r>
            <w:r>
              <w:rPr>
                <w:rFonts w:hint="eastAsia" w:ascii="Times New Roman" w:hAnsi="Times New Roman" w:eastAsia="宋体" w:cs="Times New Roman"/>
                <w:color w:val="000000"/>
                <w:sz w:val="21"/>
                <w:szCs w:val="21"/>
                <w:highlight w:val="none"/>
                <w:lang w:val="en-US" w:eastAsia="zh-CN"/>
              </w:rPr>
              <w:t>孙各庄村</w:t>
            </w:r>
            <w:r>
              <w:rPr>
                <w:rFonts w:hint="default" w:ascii="Times New Roman" w:hAnsi="Times New Roman" w:eastAsia="宋体" w:cs="Times New Roman"/>
                <w:color w:val="000000"/>
                <w:sz w:val="21"/>
                <w:szCs w:val="21"/>
                <w:highlight w:val="none"/>
              </w:rPr>
              <w:t>自来水管网，新鲜水用量为</w:t>
            </w:r>
            <w:r>
              <w:rPr>
                <w:rFonts w:hint="eastAsia" w:ascii="Times New Roman" w:hAnsi="Times New Roman" w:eastAsia="宋体" w:cs="Times New Roman"/>
                <w:color w:val="000000"/>
                <w:sz w:val="21"/>
                <w:szCs w:val="21"/>
                <w:highlight w:val="none"/>
                <w:lang w:val="en-US" w:eastAsia="zh-CN"/>
              </w:rPr>
              <w:t>588.125</w:t>
            </w:r>
            <w:r>
              <w:rPr>
                <w:rFonts w:hint="default" w:ascii="Times New Roman" w:hAnsi="Times New Roman" w:eastAsia="宋体" w:cs="Times New Roman"/>
                <w:color w:val="000000"/>
                <w:sz w:val="21"/>
                <w:szCs w:val="21"/>
                <w:highlight w:val="none"/>
              </w:rPr>
              <w:t>m</w:t>
            </w:r>
            <w:r>
              <w:rPr>
                <w:rFonts w:hint="default" w:ascii="Times New Roman" w:hAnsi="Times New Roman" w:eastAsia="宋体" w:cs="Times New Roman"/>
                <w:color w:val="000000"/>
                <w:sz w:val="21"/>
                <w:szCs w:val="21"/>
                <w:highlight w:val="none"/>
                <w:vertAlign w:val="superscript"/>
              </w:rPr>
              <w:t>3</w:t>
            </w:r>
            <w:r>
              <w:rPr>
                <w:rFonts w:hint="default" w:ascii="Times New Roman" w:hAnsi="Times New Roman" w:eastAsia="宋体" w:cs="Times New Roman"/>
                <w:color w:val="000000"/>
                <w:sz w:val="21"/>
                <w:szCs w:val="21"/>
                <w:highlight w:val="none"/>
              </w:rPr>
              <w:t>/a</w:t>
            </w:r>
          </w:p>
        </w:tc>
        <w:tc>
          <w:tcPr>
            <w:tcW w:w="1439" w:type="dxa"/>
            <w:vAlign w:val="center"/>
          </w:tcPr>
          <w:p w14:paraId="65CFAC63">
            <w:pPr>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bCs w:val="0"/>
                <w:color w:val="auto"/>
                <w:sz w:val="21"/>
                <w:szCs w:val="21"/>
                <w:highlight w:val="none"/>
                <w:lang w:val="en-US" w:eastAsia="zh-CN"/>
              </w:rPr>
              <w:t>部分一致，由于槽体尺寸和数量调整，用水量减少</w:t>
            </w:r>
          </w:p>
        </w:tc>
      </w:tr>
      <w:tr w14:paraId="24D2B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70" w:type="dxa"/>
            <w:vMerge w:val="continue"/>
            <w:vAlign w:val="center"/>
          </w:tcPr>
          <w:p w14:paraId="31A9AFEF">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rPr>
            </w:pPr>
          </w:p>
        </w:tc>
        <w:tc>
          <w:tcPr>
            <w:tcW w:w="1114" w:type="dxa"/>
            <w:shd w:val="clear" w:color="000000" w:fill="auto"/>
            <w:vAlign w:val="center"/>
          </w:tcPr>
          <w:p w14:paraId="450F55C4">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eastAsia"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rPr>
              <w:t>供电</w:t>
            </w:r>
          </w:p>
        </w:tc>
        <w:tc>
          <w:tcPr>
            <w:tcW w:w="5646" w:type="dxa"/>
            <w:gridSpan w:val="3"/>
            <w:shd w:val="clear" w:color="000000" w:fill="auto"/>
            <w:vAlign w:val="center"/>
          </w:tcPr>
          <w:p w14:paraId="4D257849">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eastAsia"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rPr>
              <w:t>由</w:t>
            </w:r>
            <w:r>
              <w:rPr>
                <w:rFonts w:hint="eastAsia" w:ascii="Times New Roman" w:hAnsi="Times New Roman" w:eastAsia="宋体" w:cs="Times New Roman"/>
                <w:color w:val="000000"/>
                <w:sz w:val="21"/>
                <w:szCs w:val="21"/>
                <w:highlight w:val="none"/>
                <w:lang w:val="en-US" w:eastAsia="zh-CN"/>
              </w:rPr>
              <w:t>鸦鸿桥产业园</w:t>
            </w:r>
            <w:r>
              <w:rPr>
                <w:rFonts w:hint="default" w:ascii="Times New Roman" w:hAnsi="Times New Roman" w:eastAsia="宋体" w:cs="Times New Roman"/>
                <w:color w:val="000000"/>
                <w:sz w:val="21"/>
                <w:szCs w:val="21"/>
                <w:highlight w:val="none"/>
              </w:rPr>
              <w:t>区供给，年耗电量</w:t>
            </w:r>
            <w:r>
              <w:rPr>
                <w:rFonts w:hint="eastAsia" w:ascii="Times New Roman" w:hAnsi="Times New Roman" w:eastAsia="宋体" w:cs="Times New Roman"/>
                <w:color w:val="000000"/>
                <w:sz w:val="21"/>
                <w:szCs w:val="21"/>
                <w:highlight w:val="none"/>
                <w:lang w:val="en-US" w:eastAsia="zh-CN"/>
              </w:rPr>
              <w:t>60</w:t>
            </w:r>
            <w:r>
              <w:rPr>
                <w:rFonts w:hint="default" w:ascii="Times New Roman" w:hAnsi="Times New Roman" w:eastAsia="宋体" w:cs="Times New Roman"/>
                <w:color w:val="000000"/>
                <w:sz w:val="21"/>
                <w:szCs w:val="21"/>
                <w:highlight w:val="none"/>
              </w:rPr>
              <w:t>万</w:t>
            </w:r>
            <w:r>
              <w:rPr>
                <w:rFonts w:hint="eastAsia" w:ascii="Times New Roman" w:hAnsi="Times New Roman" w:eastAsia="宋体" w:cs="Times New Roman"/>
                <w:color w:val="000000"/>
                <w:sz w:val="21"/>
                <w:szCs w:val="21"/>
                <w:highlight w:val="none"/>
              </w:rPr>
              <w:t>k</w:t>
            </w:r>
            <w:r>
              <w:rPr>
                <w:rFonts w:hint="default" w:ascii="Times New Roman" w:hAnsi="Times New Roman" w:eastAsia="宋体" w:cs="Times New Roman"/>
                <w:color w:val="000000"/>
                <w:sz w:val="21"/>
                <w:szCs w:val="21"/>
                <w:highlight w:val="none"/>
              </w:rPr>
              <w:t>Wh</w:t>
            </w:r>
          </w:p>
        </w:tc>
        <w:tc>
          <w:tcPr>
            <w:tcW w:w="5308" w:type="dxa"/>
            <w:gridSpan w:val="3"/>
            <w:shd w:val="clear" w:color="000000" w:fill="auto"/>
            <w:vAlign w:val="center"/>
          </w:tcPr>
          <w:p w14:paraId="2A441F04">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left"/>
              <w:textAlignment w:val="auto"/>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 w:val="21"/>
                <w:szCs w:val="21"/>
                <w:highlight w:val="none"/>
              </w:rPr>
              <w:t>由</w:t>
            </w:r>
            <w:r>
              <w:rPr>
                <w:rFonts w:hint="eastAsia" w:ascii="Times New Roman" w:hAnsi="Times New Roman" w:eastAsia="宋体" w:cs="Times New Roman"/>
                <w:color w:val="000000"/>
                <w:sz w:val="21"/>
                <w:szCs w:val="21"/>
                <w:highlight w:val="none"/>
                <w:lang w:val="en-US" w:eastAsia="zh-CN"/>
              </w:rPr>
              <w:t>鸦鸿桥产业园</w:t>
            </w:r>
            <w:r>
              <w:rPr>
                <w:rFonts w:hint="default" w:ascii="Times New Roman" w:hAnsi="Times New Roman" w:eastAsia="宋体" w:cs="Times New Roman"/>
                <w:color w:val="000000"/>
                <w:sz w:val="21"/>
                <w:szCs w:val="21"/>
                <w:highlight w:val="none"/>
              </w:rPr>
              <w:t>区供给，年耗电量</w:t>
            </w:r>
            <w:r>
              <w:rPr>
                <w:rFonts w:hint="eastAsia" w:ascii="Times New Roman" w:hAnsi="Times New Roman" w:eastAsia="宋体" w:cs="Times New Roman"/>
                <w:color w:val="000000"/>
                <w:sz w:val="21"/>
                <w:szCs w:val="21"/>
                <w:highlight w:val="none"/>
                <w:lang w:val="en-US" w:eastAsia="zh-CN"/>
              </w:rPr>
              <w:t>60</w:t>
            </w:r>
            <w:r>
              <w:rPr>
                <w:rFonts w:hint="default" w:ascii="Times New Roman" w:hAnsi="Times New Roman" w:eastAsia="宋体" w:cs="Times New Roman"/>
                <w:color w:val="000000"/>
                <w:sz w:val="21"/>
                <w:szCs w:val="21"/>
                <w:highlight w:val="none"/>
              </w:rPr>
              <w:t>万</w:t>
            </w:r>
            <w:r>
              <w:rPr>
                <w:rFonts w:hint="eastAsia" w:ascii="Times New Roman" w:hAnsi="Times New Roman" w:eastAsia="宋体" w:cs="Times New Roman"/>
                <w:color w:val="000000"/>
                <w:sz w:val="21"/>
                <w:szCs w:val="21"/>
                <w:highlight w:val="none"/>
              </w:rPr>
              <w:t>k</w:t>
            </w:r>
            <w:r>
              <w:rPr>
                <w:rFonts w:hint="default" w:ascii="Times New Roman" w:hAnsi="Times New Roman" w:eastAsia="宋体" w:cs="Times New Roman"/>
                <w:color w:val="000000"/>
                <w:sz w:val="21"/>
                <w:szCs w:val="21"/>
                <w:highlight w:val="none"/>
              </w:rPr>
              <w:t>Wh</w:t>
            </w:r>
          </w:p>
        </w:tc>
        <w:tc>
          <w:tcPr>
            <w:tcW w:w="1439" w:type="dxa"/>
            <w:vAlign w:val="center"/>
          </w:tcPr>
          <w:p w14:paraId="03CDCD41">
            <w:pPr>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bCs w:val="0"/>
                <w:color w:val="auto"/>
                <w:sz w:val="21"/>
                <w:szCs w:val="21"/>
                <w:highlight w:val="none"/>
                <w:lang w:val="en-US" w:eastAsia="zh-CN"/>
              </w:rPr>
              <w:t>一致</w:t>
            </w:r>
          </w:p>
        </w:tc>
      </w:tr>
      <w:tr w14:paraId="6EC22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70" w:type="dxa"/>
            <w:vMerge w:val="continue"/>
            <w:vAlign w:val="center"/>
          </w:tcPr>
          <w:p w14:paraId="19B3ED3F">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rPr>
            </w:pPr>
          </w:p>
        </w:tc>
        <w:tc>
          <w:tcPr>
            <w:tcW w:w="1114" w:type="dxa"/>
            <w:shd w:val="clear" w:color="000000" w:fill="auto"/>
            <w:vAlign w:val="center"/>
          </w:tcPr>
          <w:p w14:paraId="1FAAB63C">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eastAsia"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rPr>
              <w:t>供热</w:t>
            </w:r>
          </w:p>
        </w:tc>
        <w:tc>
          <w:tcPr>
            <w:tcW w:w="5646" w:type="dxa"/>
            <w:gridSpan w:val="3"/>
            <w:shd w:val="clear" w:color="000000" w:fill="auto"/>
            <w:vAlign w:val="center"/>
          </w:tcPr>
          <w:p w14:paraId="744C9A5C">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eastAsia"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rPr>
              <w:t>本项目生产用热采用电加热，办公室冬季取暖使用电取暖</w:t>
            </w:r>
          </w:p>
        </w:tc>
        <w:tc>
          <w:tcPr>
            <w:tcW w:w="5308" w:type="dxa"/>
            <w:gridSpan w:val="3"/>
            <w:shd w:val="clear" w:color="000000" w:fill="auto"/>
            <w:vAlign w:val="center"/>
          </w:tcPr>
          <w:p w14:paraId="66929E9B">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left"/>
              <w:textAlignment w:val="auto"/>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 w:val="21"/>
                <w:szCs w:val="21"/>
                <w:highlight w:val="none"/>
              </w:rPr>
              <w:t>本项目生产用热采用电加热，办公室冬季取暖使用电取暖</w:t>
            </w:r>
          </w:p>
        </w:tc>
        <w:tc>
          <w:tcPr>
            <w:tcW w:w="1439" w:type="dxa"/>
            <w:vAlign w:val="center"/>
          </w:tcPr>
          <w:p w14:paraId="7EF45976">
            <w:pPr>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bCs w:val="0"/>
                <w:color w:val="auto"/>
                <w:sz w:val="21"/>
                <w:szCs w:val="21"/>
                <w:highlight w:val="none"/>
                <w:lang w:val="en-US" w:eastAsia="zh-CN"/>
              </w:rPr>
              <w:t>一致</w:t>
            </w:r>
          </w:p>
        </w:tc>
      </w:tr>
      <w:tr w14:paraId="5501C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70" w:type="dxa"/>
            <w:vMerge w:val="continue"/>
            <w:vAlign w:val="center"/>
          </w:tcPr>
          <w:p w14:paraId="5073B629">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rPr>
            </w:pPr>
          </w:p>
        </w:tc>
        <w:tc>
          <w:tcPr>
            <w:tcW w:w="1114" w:type="dxa"/>
            <w:shd w:val="clear" w:color="000000" w:fill="auto"/>
            <w:vAlign w:val="center"/>
          </w:tcPr>
          <w:p w14:paraId="79C48925">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eastAsia"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rPr>
              <w:t>污水处理站</w:t>
            </w:r>
          </w:p>
        </w:tc>
        <w:tc>
          <w:tcPr>
            <w:tcW w:w="5646" w:type="dxa"/>
            <w:gridSpan w:val="3"/>
            <w:shd w:val="clear" w:color="000000" w:fill="auto"/>
            <w:vAlign w:val="center"/>
          </w:tcPr>
          <w:p w14:paraId="05341FD1">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一体式污水处理设施</w:t>
            </w:r>
            <w:r>
              <w:rPr>
                <w:rFonts w:hint="eastAsia" w:ascii="Times New Roman" w:hAnsi="Times New Roman" w:eastAsia="宋体" w:cs="Times New Roman"/>
                <w:color w:val="000000"/>
                <w:sz w:val="21"/>
                <w:szCs w:val="21"/>
                <w:highlight w:val="none"/>
              </w:rPr>
              <w:t>，</w:t>
            </w:r>
            <w:r>
              <w:rPr>
                <w:rFonts w:hint="default" w:ascii="Times New Roman" w:hAnsi="Times New Roman" w:eastAsia="宋体" w:cs="Times New Roman"/>
                <w:color w:val="000000"/>
                <w:sz w:val="21"/>
                <w:szCs w:val="21"/>
                <w:highlight w:val="none"/>
              </w:rPr>
              <w:t>采用</w:t>
            </w:r>
            <w:r>
              <w:rPr>
                <w:rFonts w:hint="eastAsia" w:ascii="Times New Roman" w:hAnsi="Times New Roman" w:eastAsia="宋体" w:cs="Times New Roman"/>
                <w:color w:val="000000"/>
                <w:sz w:val="21"/>
                <w:szCs w:val="21"/>
                <w:highlight w:val="none"/>
                <w:lang w:eastAsia="zh-CN"/>
              </w:rPr>
              <w:t>“调节池酸碱调节+混凝沉淀+高效气浮+超滤+精密过滤+砂滤+超滤+反渗透”</w:t>
            </w:r>
            <w:r>
              <w:rPr>
                <w:rFonts w:hint="default" w:ascii="Times New Roman" w:hAnsi="Times New Roman" w:eastAsia="宋体" w:cs="Times New Roman"/>
                <w:color w:val="000000"/>
                <w:sz w:val="21"/>
                <w:szCs w:val="21"/>
                <w:highlight w:val="none"/>
              </w:rPr>
              <w:t>工艺，污水站</w:t>
            </w:r>
            <w:r>
              <w:rPr>
                <w:rFonts w:hint="eastAsia" w:ascii="Times New Roman" w:hAnsi="Times New Roman" w:eastAsia="宋体" w:cs="Times New Roman"/>
                <w:color w:val="000000"/>
                <w:sz w:val="21"/>
                <w:szCs w:val="21"/>
                <w:highlight w:val="none"/>
                <w:lang w:val="en-US" w:eastAsia="zh-CN"/>
              </w:rPr>
              <w:t>处理后中水</w:t>
            </w:r>
            <w:r>
              <w:rPr>
                <w:rFonts w:hint="default" w:ascii="Times New Roman" w:hAnsi="Times New Roman" w:eastAsia="宋体" w:cs="Times New Roman"/>
                <w:color w:val="000000"/>
                <w:sz w:val="21"/>
                <w:szCs w:val="21"/>
                <w:highlight w:val="none"/>
              </w:rPr>
              <w:t>回用于</w:t>
            </w:r>
            <w:r>
              <w:rPr>
                <w:rFonts w:hint="eastAsia" w:ascii="Times New Roman" w:hAnsi="Times New Roman" w:eastAsia="宋体" w:cs="Times New Roman"/>
                <w:color w:val="000000"/>
                <w:sz w:val="21"/>
                <w:szCs w:val="21"/>
                <w:highlight w:val="none"/>
                <w:lang w:val="en-US" w:eastAsia="zh-CN"/>
              </w:rPr>
              <w:t>阳极氧化生产线。</w:t>
            </w:r>
          </w:p>
        </w:tc>
        <w:tc>
          <w:tcPr>
            <w:tcW w:w="5308" w:type="dxa"/>
            <w:gridSpan w:val="3"/>
            <w:shd w:val="clear" w:color="auto" w:fill="auto"/>
            <w:vAlign w:val="center"/>
          </w:tcPr>
          <w:p w14:paraId="0FC76399">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一体式污水处理设施</w:t>
            </w:r>
            <w:r>
              <w:rPr>
                <w:rFonts w:hint="eastAsia"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rPr>
              <w:t>采用</w:t>
            </w:r>
            <w:r>
              <w:rPr>
                <w:rFonts w:hint="eastAsia" w:ascii="Times New Roman" w:hAnsi="Times New Roman" w:eastAsia="宋体" w:cs="Times New Roman"/>
                <w:color w:val="auto"/>
                <w:sz w:val="21"/>
                <w:szCs w:val="21"/>
                <w:highlight w:val="none"/>
                <w:lang w:eastAsia="zh-CN"/>
              </w:rPr>
              <w:t>“调节池酸碱调节+混凝沉淀+高效气浮+超滤+精密过滤+砂滤+超滤+反渗透”</w:t>
            </w:r>
            <w:r>
              <w:rPr>
                <w:rFonts w:hint="default" w:ascii="Times New Roman" w:hAnsi="Times New Roman" w:eastAsia="宋体" w:cs="Times New Roman"/>
                <w:color w:val="auto"/>
                <w:sz w:val="21"/>
                <w:szCs w:val="21"/>
                <w:highlight w:val="none"/>
              </w:rPr>
              <w:t>工艺，污水站</w:t>
            </w:r>
            <w:r>
              <w:rPr>
                <w:rFonts w:hint="eastAsia" w:ascii="Times New Roman" w:hAnsi="Times New Roman" w:eastAsia="宋体" w:cs="Times New Roman"/>
                <w:color w:val="auto"/>
                <w:sz w:val="21"/>
                <w:szCs w:val="21"/>
                <w:highlight w:val="none"/>
                <w:lang w:val="en-US" w:eastAsia="zh-CN"/>
              </w:rPr>
              <w:t>处理后中水</w:t>
            </w:r>
            <w:r>
              <w:rPr>
                <w:rFonts w:hint="default" w:ascii="Times New Roman" w:hAnsi="Times New Roman" w:eastAsia="宋体" w:cs="Times New Roman"/>
                <w:color w:val="auto"/>
                <w:sz w:val="21"/>
                <w:szCs w:val="21"/>
                <w:highlight w:val="none"/>
              </w:rPr>
              <w:t>回用于</w:t>
            </w:r>
            <w:r>
              <w:rPr>
                <w:rFonts w:hint="eastAsia" w:ascii="Times New Roman" w:hAnsi="Times New Roman" w:eastAsia="宋体" w:cs="Times New Roman"/>
                <w:color w:val="auto"/>
                <w:sz w:val="21"/>
                <w:szCs w:val="21"/>
                <w:highlight w:val="none"/>
                <w:lang w:val="en-US" w:eastAsia="zh-CN"/>
              </w:rPr>
              <w:t>阳极氧化生产线。</w:t>
            </w:r>
          </w:p>
        </w:tc>
        <w:tc>
          <w:tcPr>
            <w:tcW w:w="1439" w:type="dxa"/>
            <w:vAlign w:val="center"/>
          </w:tcPr>
          <w:p w14:paraId="194866BB">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bCs w:val="0"/>
                <w:color w:val="auto"/>
                <w:sz w:val="21"/>
                <w:szCs w:val="21"/>
                <w:highlight w:val="none"/>
                <w:lang w:val="en-US" w:eastAsia="zh-CN"/>
              </w:rPr>
              <w:t>一致</w:t>
            </w:r>
          </w:p>
        </w:tc>
      </w:tr>
      <w:tr w14:paraId="2BD5F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70" w:type="dxa"/>
            <w:vMerge w:val="restart"/>
            <w:vAlign w:val="center"/>
          </w:tcPr>
          <w:p w14:paraId="0F15AFB0">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rPr>
              <w:t>环保工程</w:t>
            </w:r>
          </w:p>
        </w:tc>
        <w:tc>
          <w:tcPr>
            <w:tcW w:w="1114" w:type="dxa"/>
            <w:vMerge w:val="restart"/>
            <w:shd w:val="clear" w:color="auto" w:fill="auto"/>
            <w:vAlign w:val="center"/>
          </w:tcPr>
          <w:p w14:paraId="64289E4B">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rPr>
              <w:t>废气</w:t>
            </w:r>
          </w:p>
        </w:tc>
        <w:tc>
          <w:tcPr>
            <w:tcW w:w="1079" w:type="dxa"/>
            <w:shd w:val="clear" w:color="000000" w:fill="auto"/>
            <w:vAlign w:val="center"/>
          </w:tcPr>
          <w:p w14:paraId="2C4FACF1">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抛光废气</w:t>
            </w:r>
          </w:p>
        </w:tc>
        <w:tc>
          <w:tcPr>
            <w:tcW w:w="961" w:type="dxa"/>
            <w:shd w:val="clear" w:color="000000" w:fill="auto"/>
            <w:vAlign w:val="center"/>
          </w:tcPr>
          <w:p w14:paraId="3C140139">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颗粒物</w:t>
            </w:r>
          </w:p>
        </w:tc>
        <w:tc>
          <w:tcPr>
            <w:tcW w:w="3606" w:type="dxa"/>
            <w:shd w:val="clear" w:color="000000" w:fill="auto"/>
            <w:vAlign w:val="center"/>
          </w:tcPr>
          <w:p w14:paraId="24BD6011">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rPr>
              <w:t>集气罩+</w:t>
            </w:r>
            <w:r>
              <w:rPr>
                <w:rFonts w:hint="eastAsia" w:ascii="Times New Roman" w:hAnsi="Times New Roman" w:eastAsia="宋体" w:cs="Times New Roman"/>
                <w:color w:val="000000"/>
                <w:sz w:val="21"/>
                <w:szCs w:val="21"/>
                <w:highlight w:val="none"/>
                <w:lang w:val="en-US" w:eastAsia="zh-CN"/>
              </w:rPr>
              <w:t>脉冲布袋除尘器</w:t>
            </w:r>
            <w:r>
              <w:rPr>
                <w:rFonts w:hint="default" w:ascii="Times New Roman" w:hAnsi="Times New Roman" w:eastAsia="宋体" w:cs="Times New Roman"/>
                <w:color w:val="000000"/>
                <w:sz w:val="21"/>
                <w:szCs w:val="21"/>
                <w:highlight w:val="none"/>
              </w:rPr>
              <w:t>+15m高排气筒P1</w:t>
            </w:r>
          </w:p>
        </w:tc>
        <w:tc>
          <w:tcPr>
            <w:tcW w:w="1231" w:type="dxa"/>
            <w:shd w:val="clear" w:color="000000" w:fill="auto"/>
            <w:vAlign w:val="center"/>
          </w:tcPr>
          <w:p w14:paraId="2DDA5C09">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抛光废气</w:t>
            </w:r>
          </w:p>
        </w:tc>
        <w:tc>
          <w:tcPr>
            <w:tcW w:w="927" w:type="dxa"/>
            <w:shd w:val="clear" w:color="000000" w:fill="auto"/>
            <w:vAlign w:val="center"/>
          </w:tcPr>
          <w:p w14:paraId="0BA9916D">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颗粒物</w:t>
            </w:r>
          </w:p>
        </w:tc>
        <w:tc>
          <w:tcPr>
            <w:tcW w:w="3150" w:type="dxa"/>
            <w:shd w:val="clear" w:color="000000" w:fill="auto"/>
            <w:vAlign w:val="center"/>
          </w:tcPr>
          <w:p w14:paraId="4673F41B">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left"/>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集气罩+</w:t>
            </w:r>
            <w:r>
              <w:rPr>
                <w:rFonts w:hint="eastAsia" w:ascii="Times New Roman" w:hAnsi="Times New Roman" w:eastAsia="宋体" w:cs="Times New Roman"/>
                <w:color w:val="auto"/>
                <w:sz w:val="21"/>
                <w:szCs w:val="21"/>
                <w:highlight w:val="none"/>
                <w:lang w:val="en-US" w:eastAsia="zh-CN"/>
              </w:rPr>
              <w:t>脉冲布袋除尘器</w:t>
            </w:r>
            <w:r>
              <w:rPr>
                <w:rFonts w:hint="default" w:ascii="Times New Roman" w:hAnsi="Times New Roman" w:eastAsia="宋体" w:cs="Times New Roman"/>
                <w:color w:val="auto"/>
                <w:sz w:val="21"/>
                <w:szCs w:val="21"/>
                <w:highlight w:val="none"/>
              </w:rPr>
              <w:t>+15m高排气筒P1</w:t>
            </w:r>
          </w:p>
        </w:tc>
        <w:tc>
          <w:tcPr>
            <w:tcW w:w="1439" w:type="dxa"/>
            <w:vAlign w:val="center"/>
          </w:tcPr>
          <w:p w14:paraId="232CAD27">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一致</w:t>
            </w:r>
          </w:p>
        </w:tc>
      </w:tr>
      <w:tr w14:paraId="6546D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70" w:type="dxa"/>
            <w:vMerge w:val="continue"/>
            <w:vAlign w:val="center"/>
          </w:tcPr>
          <w:p w14:paraId="0E4801FA">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rPr>
            </w:pPr>
          </w:p>
        </w:tc>
        <w:tc>
          <w:tcPr>
            <w:tcW w:w="1114" w:type="dxa"/>
            <w:vMerge w:val="continue"/>
            <w:shd w:val="clear" w:color="auto" w:fill="auto"/>
            <w:vAlign w:val="center"/>
          </w:tcPr>
          <w:p w14:paraId="66170588">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rPr>
            </w:pPr>
          </w:p>
        </w:tc>
        <w:tc>
          <w:tcPr>
            <w:tcW w:w="1079" w:type="dxa"/>
            <w:shd w:val="clear" w:color="000000" w:fill="auto"/>
            <w:vAlign w:val="center"/>
          </w:tcPr>
          <w:p w14:paraId="588E839E">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阳极氧化废气</w:t>
            </w:r>
          </w:p>
        </w:tc>
        <w:tc>
          <w:tcPr>
            <w:tcW w:w="961" w:type="dxa"/>
            <w:shd w:val="clear" w:color="000000" w:fill="auto"/>
            <w:vAlign w:val="center"/>
          </w:tcPr>
          <w:p w14:paraId="56BAC7E2">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硫酸雾</w:t>
            </w:r>
          </w:p>
        </w:tc>
        <w:tc>
          <w:tcPr>
            <w:tcW w:w="3606" w:type="dxa"/>
            <w:shd w:val="clear" w:color="000000" w:fill="auto"/>
            <w:vAlign w:val="center"/>
          </w:tcPr>
          <w:p w14:paraId="18438272">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rPr>
              <w:t>阳极氧化</w:t>
            </w:r>
            <w:r>
              <w:rPr>
                <w:rFonts w:hint="eastAsia" w:ascii="Times New Roman" w:hAnsi="Times New Roman" w:eastAsia="宋体" w:cs="Times New Roman"/>
                <w:color w:val="000000"/>
                <w:sz w:val="21"/>
                <w:szCs w:val="21"/>
                <w:highlight w:val="none"/>
                <w:lang w:val="en-US" w:eastAsia="zh-CN"/>
              </w:rPr>
              <w:t>槽设置单独生产间，三面遮挡，一面设置软帘</w:t>
            </w:r>
            <w:r>
              <w:rPr>
                <w:rFonts w:hint="eastAsia" w:ascii="Times New Roman" w:hAnsi="Times New Roman" w:eastAsia="宋体" w:cs="Times New Roman"/>
                <w:color w:val="000000"/>
                <w:sz w:val="21"/>
                <w:szCs w:val="21"/>
                <w:highlight w:val="none"/>
              </w:rPr>
              <w:t>，</w:t>
            </w:r>
            <w:r>
              <w:rPr>
                <w:rFonts w:hint="eastAsia" w:ascii="Times New Roman" w:hAnsi="Times New Roman" w:eastAsia="宋体" w:cs="Times New Roman"/>
                <w:color w:val="000000"/>
                <w:sz w:val="21"/>
                <w:szCs w:val="21"/>
                <w:highlight w:val="none"/>
                <w:lang w:val="en-US" w:eastAsia="zh-CN"/>
              </w:rPr>
              <w:t>槽体顶部设置集气罩，废气收集后经</w:t>
            </w:r>
            <w:r>
              <w:rPr>
                <w:rFonts w:hint="eastAsia" w:ascii="Times New Roman" w:hAnsi="Times New Roman" w:eastAsia="宋体" w:cs="Times New Roman"/>
                <w:color w:val="000000"/>
                <w:sz w:val="21"/>
                <w:szCs w:val="21"/>
                <w:highlight w:val="none"/>
              </w:rPr>
              <w:t>碱液喷淋塔处理，通过1根</w:t>
            </w:r>
            <w:r>
              <w:rPr>
                <w:rFonts w:hint="eastAsia" w:ascii="Times New Roman" w:hAnsi="Times New Roman" w:eastAsia="宋体" w:cs="Times New Roman"/>
                <w:color w:val="000000"/>
                <w:sz w:val="21"/>
                <w:szCs w:val="21"/>
                <w:highlight w:val="none"/>
                <w:lang w:val="en-US" w:eastAsia="zh-CN"/>
              </w:rPr>
              <w:t>15</w:t>
            </w:r>
            <w:r>
              <w:rPr>
                <w:rFonts w:hint="eastAsia" w:ascii="Times New Roman" w:hAnsi="Times New Roman" w:eastAsia="宋体" w:cs="Times New Roman"/>
                <w:color w:val="000000"/>
                <w:sz w:val="21"/>
                <w:szCs w:val="21"/>
                <w:highlight w:val="none"/>
              </w:rPr>
              <w:t>m高的排气筒排放</w:t>
            </w:r>
            <w:r>
              <w:rPr>
                <w:rFonts w:hint="eastAsia" w:ascii="Times New Roman" w:hAnsi="Times New Roman" w:eastAsia="宋体" w:cs="Times New Roman"/>
                <w:color w:val="000000"/>
                <w:sz w:val="21"/>
                <w:szCs w:val="21"/>
                <w:highlight w:val="none"/>
                <w:lang w:val="en-US" w:eastAsia="zh-CN"/>
              </w:rPr>
              <w:t>P2</w:t>
            </w:r>
          </w:p>
        </w:tc>
        <w:tc>
          <w:tcPr>
            <w:tcW w:w="1231" w:type="dxa"/>
            <w:shd w:val="clear" w:color="000000" w:fill="auto"/>
            <w:vAlign w:val="center"/>
          </w:tcPr>
          <w:p w14:paraId="69428F86">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center"/>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阳极氧化废气</w:t>
            </w:r>
          </w:p>
        </w:tc>
        <w:tc>
          <w:tcPr>
            <w:tcW w:w="927" w:type="dxa"/>
            <w:shd w:val="clear" w:color="000000" w:fill="auto"/>
            <w:vAlign w:val="center"/>
          </w:tcPr>
          <w:p w14:paraId="604D1DDA">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center"/>
              <w:textAlignment w:val="auto"/>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硫酸雾</w:t>
            </w:r>
          </w:p>
        </w:tc>
        <w:tc>
          <w:tcPr>
            <w:tcW w:w="3150" w:type="dxa"/>
            <w:shd w:val="clear" w:color="000000" w:fill="auto"/>
            <w:vAlign w:val="center"/>
          </w:tcPr>
          <w:p w14:paraId="38EBBAB3">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left"/>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rPr>
              <w:t>阳极氧化</w:t>
            </w:r>
            <w:r>
              <w:rPr>
                <w:rFonts w:hint="eastAsia" w:ascii="Times New Roman" w:hAnsi="Times New Roman" w:eastAsia="宋体" w:cs="Times New Roman"/>
                <w:color w:val="auto"/>
                <w:sz w:val="21"/>
                <w:szCs w:val="21"/>
                <w:highlight w:val="none"/>
                <w:lang w:val="en-US" w:eastAsia="zh-CN"/>
              </w:rPr>
              <w:t>槽设置单独生产间，三面设置软帘</w:t>
            </w:r>
            <w:r>
              <w:rPr>
                <w:rFonts w:hint="eastAsia" w:ascii="Times New Roman" w:hAnsi="Times New Roman" w:eastAsia="宋体" w:cs="Times New Roman"/>
                <w:color w:val="auto"/>
                <w:sz w:val="21"/>
                <w:szCs w:val="21"/>
                <w:highlight w:val="none"/>
              </w:rPr>
              <w:t>，</w:t>
            </w:r>
            <w:r>
              <w:rPr>
                <w:rFonts w:hint="eastAsia" w:ascii="Times New Roman" w:hAnsi="Times New Roman" w:eastAsia="宋体" w:cs="Times New Roman"/>
                <w:color w:val="auto"/>
                <w:sz w:val="21"/>
                <w:szCs w:val="21"/>
                <w:highlight w:val="none"/>
                <w:lang w:val="en-US" w:eastAsia="zh-CN"/>
              </w:rPr>
              <w:t>槽体顶部设置集气罩，废气收集后经</w:t>
            </w:r>
            <w:r>
              <w:rPr>
                <w:rFonts w:hint="eastAsia" w:ascii="Times New Roman" w:hAnsi="Times New Roman" w:eastAsia="宋体" w:cs="Times New Roman"/>
                <w:color w:val="auto"/>
                <w:sz w:val="21"/>
                <w:szCs w:val="21"/>
                <w:highlight w:val="none"/>
              </w:rPr>
              <w:t>碱液喷淋塔处理，通过1根</w:t>
            </w:r>
            <w:r>
              <w:rPr>
                <w:rFonts w:hint="eastAsia" w:ascii="Times New Roman" w:hAnsi="Times New Roman" w:eastAsia="宋体" w:cs="Times New Roman"/>
                <w:color w:val="auto"/>
                <w:sz w:val="21"/>
                <w:szCs w:val="21"/>
                <w:highlight w:val="none"/>
                <w:lang w:val="en-US" w:eastAsia="zh-CN"/>
              </w:rPr>
              <w:t>15</w:t>
            </w:r>
            <w:r>
              <w:rPr>
                <w:rFonts w:hint="eastAsia" w:ascii="Times New Roman" w:hAnsi="Times New Roman" w:eastAsia="宋体" w:cs="Times New Roman"/>
                <w:color w:val="auto"/>
                <w:sz w:val="21"/>
                <w:szCs w:val="21"/>
                <w:highlight w:val="none"/>
              </w:rPr>
              <w:t>m高的排气筒排放</w:t>
            </w:r>
            <w:r>
              <w:rPr>
                <w:rFonts w:hint="eastAsia" w:ascii="Times New Roman" w:hAnsi="Times New Roman" w:eastAsia="宋体" w:cs="Times New Roman"/>
                <w:color w:val="auto"/>
                <w:sz w:val="21"/>
                <w:szCs w:val="21"/>
                <w:highlight w:val="none"/>
                <w:lang w:val="en-US" w:eastAsia="zh-CN"/>
              </w:rPr>
              <w:t>P2</w:t>
            </w:r>
          </w:p>
        </w:tc>
        <w:tc>
          <w:tcPr>
            <w:tcW w:w="1439" w:type="dxa"/>
            <w:vAlign w:val="center"/>
          </w:tcPr>
          <w:p w14:paraId="7D7E3DDF">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bCs w:val="0"/>
                <w:color w:val="auto"/>
                <w:sz w:val="21"/>
                <w:szCs w:val="21"/>
                <w:highlight w:val="none"/>
                <w:lang w:val="en-US" w:eastAsia="zh-CN"/>
              </w:rPr>
              <w:t>部分</w:t>
            </w:r>
            <w:r>
              <w:rPr>
                <w:rFonts w:hint="eastAsia" w:ascii="Times New Roman" w:hAnsi="Times New Roman" w:eastAsia="宋体" w:cs="Times New Roman"/>
                <w:bCs w:val="0"/>
                <w:color w:val="auto"/>
                <w:sz w:val="21"/>
                <w:szCs w:val="21"/>
                <w:highlight w:val="none"/>
                <w:lang w:val="en-US" w:eastAsia="zh-CN"/>
              </w:rPr>
              <w:t>一致</w:t>
            </w:r>
            <w:r>
              <w:rPr>
                <w:rFonts w:hint="eastAsia" w:ascii="Times New Roman" w:hAnsi="Times New Roman" w:cs="Times New Roman"/>
                <w:bCs w:val="0"/>
                <w:color w:val="auto"/>
                <w:sz w:val="21"/>
                <w:szCs w:val="21"/>
                <w:highlight w:val="none"/>
                <w:lang w:val="en-US" w:eastAsia="zh-CN"/>
              </w:rPr>
              <w:t>，集气罩，侧面加软帘</w:t>
            </w:r>
          </w:p>
        </w:tc>
      </w:tr>
      <w:tr w14:paraId="09C86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70" w:type="dxa"/>
            <w:vMerge w:val="continue"/>
            <w:vAlign w:val="center"/>
          </w:tcPr>
          <w:p w14:paraId="2B1BB348">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rPr>
            </w:pPr>
          </w:p>
        </w:tc>
        <w:tc>
          <w:tcPr>
            <w:tcW w:w="1114" w:type="dxa"/>
            <w:vMerge w:val="continue"/>
            <w:shd w:val="clear" w:color="auto" w:fill="auto"/>
            <w:vAlign w:val="center"/>
          </w:tcPr>
          <w:p w14:paraId="2FD065BC">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rPr>
            </w:pPr>
          </w:p>
        </w:tc>
        <w:tc>
          <w:tcPr>
            <w:tcW w:w="1079" w:type="dxa"/>
            <w:vMerge w:val="restart"/>
            <w:shd w:val="clear" w:color="000000" w:fill="auto"/>
            <w:vAlign w:val="center"/>
          </w:tcPr>
          <w:p w14:paraId="6991413E">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rPr>
              <w:t>无组织废气</w:t>
            </w:r>
          </w:p>
        </w:tc>
        <w:tc>
          <w:tcPr>
            <w:tcW w:w="961" w:type="dxa"/>
            <w:shd w:val="clear" w:color="000000" w:fill="auto"/>
            <w:vAlign w:val="center"/>
          </w:tcPr>
          <w:p w14:paraId="308A65BA">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rPr>
              <w:t>颗粒物</w:t>
            </w:r>
          </w:p>
        </w:tc>
        <w:tc>
          <w:tcPr>
            <w:tcW w:w="3606" w:type="dxa"/>
            <w:shd w:val="clear" w:color="000000" w:fill="auto"/>
            <w:vAlign w:val="center"/>
          </w:tcPr>
          <w:p w14:paraId="4C76706C">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自然沉降</w:t>
            </w:r>
          </w:p>
        </w:tc>
        <w:tc>
          <w:tcPr>
            <w:tcW w:w="1231" w:type="dxa"/>
            <w:vMerge w:val="restart"/>
            <w:shd w:val="clear" w:color="000000" w:fill="auto"/>
            <w:vAlign w:val="center"/>
          </w:tcPr>
          <w:p w14:paraId="682F59A7">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center"/>
              <w:textAlignment w:val="auto"/>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 w:val="21"/>
                <w:szCs w:val="21"/>
                <w:highlight w:val="none"/>
              </w:rPr>
              <w:t>无组织废气</w:t>
            </w:r>
          </w:p>
        </w:tc>
        <w:tc>
          <w:tcPr>
            <w:tcW w:w="927" w:type="dxa"/>
            <w:shd w:val="clear" w:color="000000" w:fill="auto"/>
            <w:vAlign w:val="center"/>
          </w:tcPr>
          <w:p w14:paraId="44B3A628">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center"/>
              <w:textAlignment w:val="auto"/>
              <w:rPr>
                <w:rFonts w:hint="eastAsia"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 w:val="21"/>
                <w:szCs w:val="21"/>
                <w:highlight w:val="none"/>
              </w:rPr>
              <w:t>颗粒物</w:t>
            </w:r>
          </w:p>
        </w:tc>
        <w:tc>
          <w:tcPr>
            <w:tcW w:w="3150" w:type="dxa"/>
            <w:shd w:val="clear" w:color="000000" w:fill="auto"/>
            <w:vAlign w:val="center"/>
          </w:tcPr>
          <w:p w14:paraId="3FE621EE">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left"/>
              <w:textAlignment w:val="auto"/>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自然沉降</w:t>
            </w:r>
          </w:p>
        </w:tc>
        <w:tc>
          <w:tcPr>
            <w:tcW w:w="1439" w:type="dxa"/>
            <w:vAlign w:val="center"/>
          </w:tcPr>
          <w:p w14:paraId="1A6C9520">
            <w:pPr>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bCs w:val="0"/>
                <w:color w:val="auto"/>
                <w:sz w:val="21"/>
                <w:szCs w:val="21"/>
                <w:highlight w:val="none"/>
                <w:lang w:val="en-US" w:eastAsia="zh-CN"/>
              </w:rPr>
              <w:t>一致</w:t>
            </w:r>
          </w:p>
        </w:tc>
      </w:tr>
      <w:tr w14:paraId="78A68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70" w:type="dxa"/>
            <w:vMerge w:val="continue"/>
            <w:vAlign w:val="center"/>
          </w:tcPr>
          <w:p w14:paraId="336F3044">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rPr>
            </w:pPr>
          </w:p>
        </w:tc>
        <w:tc>
          <w:tcPr>
            <w:tcW w:w="1114" w:type="dxa"/>
            <w:vMerge w:val="continue"/>
            <w:shd w:val="clear" w:color="auto" w:fill="auto"/>
            <w:vAlign w:val="center"/>
          </w:tcPr>
          <w:p w14:paraId="6CA3A734">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rPr>
            </w:pPr>
          </w:p>
        </w:tc>
        <w:tc>
          <w:tcPr>
            <w:tcW w:w="1079" w:type="dxa"/>
            <w:vMerge w:val="continue"/>
            <w:shd w:val="clear" w:color="auto" w:fill="auto"/>
            <w:vAlign w:val="center"/>
          </w:tcPr>
          <w:p w14:paraId="67C8A684">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p>
        </w:tc>
        <w:tc>
          <w:tcPr>
            <w:tcW w:w="961" w:type="dxa"/>
            <w:shd w:val="clear" w:color="000000" w:fill="auto"/>
            <w:vAlign w:val="center"/>
          </w:tcPr>
          <w:p w14:paraId="24CC2786">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硫酸雾</w:t>
            </w:r>
          </w:p>
        </w:tc>
        <w:tc>
          <w:tcPr>
            <w:tcW w:w="3606" w:type="dxa"/>
            <w:shd w:val="clear" w:color="000000" w:fill="auto"/>
            <w:vAlign w:val="center"/>
          </w:tcPr>
          <w:p w14:paraId="4B5FDA66">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车间通风</w:t>
            </w:r>
          </w:p>
        </w:tc>
        <w:tc>
          <w:tcPr>
            <w:tcW w:w="1231" w:type="dxa"/>
            <w:vMerge w:val="continue"/>
            <w:shd w:val="clear" w:color="auto" w:fill="auto"/>
            <w:vAlign w:val="center"/>
          </w:tcPr>
          <w:p w14:paraId="69684B84">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left"/>
              <w:textAlignment w:val="auto"/>
              <w:rPr>
                <w:rFonts w:hint="default" w:ascii="Times New Roman" w:hAnsi="Times New Roman" w:eastAsia="宋体" w:cs="Times New Roman"/>
                <w:color w:val="000000"/>
                <w:sz w:val="21"/>
                <w:szCs w:val="21"/>
                <w:highlight w:val="none"/>
                <w:lang w:val="en-US" w:eastAsia="zh-CN"/>
              </w:rPr>
            </w:pPr>
          </w:p>
        </w:tc>
        <w:tc>
          <w:tcPr>
            <w:tcW w:w="927" w:type="dxa"/>
            <w:shd w:val="clear" w:color="000000" w:fill="auto"/>
            <w:vAlign w:val="center"/>
          </w:tcPr>
          <w:p w14:paraId="0D42F292">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center"/>
              <w:textAlignment w:val="auto"/>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硫酸雾</w:t>
            </w:r>
          </w:p>
        </w:tc>
        <w:tc>
          <w:tcPr>
            <w:tcW w:w="3150" w:type="dxa"/>
            <w:shd w:val="clear" w:color="000000" w:fill="auto"/>
            <w:vAlign w:val="center"/>
          </w:tcPr>
          <w:p w14:paraId="383A48E7">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left"/>
              <w:textAlignment w:val="auto"/>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车间通风</w:t>
            </w:r>
          </w:p>
        </w:tc>
        <w:tc>
          <w:tcPr>
            <w:tcW w:w="1439" w:type="dxa"/>
            <w:vAlign w:val="center"/>
          </w:tcPr>
          <w:p w14:paraId="7D00F8F0">
            <w:pPr>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bCs w:val="0"/>
                <w:color w:val="auto"/>
                <w:sz w:val="21"/>
                <w:szCs w:val="21"/>
                <w:highlight w:val="none"/>
                <w:lang w:val="en-US" w:eastAsia="zh-CN"/>
              </w:rPr>
              <w:t>一致</w:t>
            </w:r>
          </w:p>
        </w:tc>
      </w:tr>
      <w:tr w14:paraId="62C38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70" w:type="dxa"/>
            <w:vMerge w:val="continue"/>
            <w:vAlign w:val="center"/>
          </w:tcPr>
          <w:p w14:paraId="57B1BE2D">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p>
        </w:tc>
        <w:tc>
          <w:tcPr>
            <w:tcW w:w="1114" w:type="dxa"/>
            <w:shd w:val="clear" w:color="000000" w:fill="auto"/>
            <w:vAlign w:val="center"/>
          </w:tcPr>
          <w:p w14:paraId="546A5DDD">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rPr>
              <w:t>废水</w:t>
            </w:r>
          </w:p>
        </w:tc>
        <w:tc>
          <w:tcPr>
            <w:tcW w:w="5646" w:type="dxa"/>
            <w:gridSpan w:val="3"/>
            <w:shd w:val="clear" w:color="000000" w:fill="auto"/>
            <w:vAlign w:val="center"/>
          </w:tcPr>
          <w:p w14:paraId="21C10960">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项目喷淋塔排水、纯水制备尾水、废脱脂槽液、清洗废水、废阳极氧化槽液、废封闭槽液、阳极氧化车间保洁废水收集后进入自建污水处理设施处理，</w:t>
            </w:r>
            <w:r>
              <w:rPr>
                <w:rFonts w:hint="default" w:ascii="Times New Roman" w:hAnsi="Times New Roman" w:eastAsia="宋体" w:cs="Times New Roman"/>
                <w:color w:val="000000"/>
                <w:sz w:val="21"/>
                <w:szCs w:val="21"/>
                <w:highlight w:val="none"/>
              </w:rPr>
              <w:t>处理后</w:t>
            </w:r>
            <w:r>
              <w:rPr>
                <w:rFonts w:hint="eastAsia" w:ascii="Times New Roman" w:hAnsi="Times New Roman" w:eastAsia="宋体" w:cs="Times New Roman"/>
                <w:color w:val="000000"/>
                <w:sz w:val="21"/>
                <w:szCs w:val="21"/>
                <w:highlight w:val="none"/>
                <w:lang w:val="en-US" w:eastAsia="zh-CN"/>
              </w:rPr>
              <w:t>中水回用于阳极氧化线</w:t>
            </w:r>
            <w:r>
              <w:rPr>
                <w:rFonts w:hint="default" w:ascii="Times New Roman" w:hAnsi="Times New Roman" w:eastAsia="宋体" w:cs="Times New Roman"/>
                <w:color w:val="000000"/>
                <w:sz w:val="21"/>
                <w:szCs w:val="21"/>
                <w:highlight w:val="none"/>
              </w:rPr>
              <w:t>；生活污水</w:t>
            </w:r>
            <w:r>
              <w:rPr>
                <w:rFonts w:hint="eastAsia" w:ascii="Times New Roman" w:hAnsi="Times New Roman" w:eastAsia="宋体" w:cs="Times New Roman"/>
                <w:color w:val="000000"/>
                <w:sz w:val="21"/>
                <w:szCs w:val="21"/>
                <w:highlight w:val="none"/>
                <w:lang w:val="en-US" w:eastAsia="zh-CN"/>
              </w:rPr>
              <w:t>经自建化粪池预处理后通过市政污水管网进入鸦鸿桥镇污水处理厂处理</w:t>
            </w:r>
            <w:r>
              <w:rPr>
                <w:rFonts w:hint="eastAsia" w:ascii="Times New Roman" w:hAnsi="Times New Roman" w:eastAsia="宋体" w:cs="Times New Roman"/>
                <w:color w:val="000000"/>
                <w:sz w:val="21"/>
                <w:szCs w:val="21"/>
                <w:highlight w:val="none"/>
              </w:rPr>
              <w:t>。</w:t>
            </w:r>
          </w:p>
        </w:tc>
        <w:tc>
          <w:tcPr>
            <w:tcW w:w="5308" w:type="dxa"/>
            <w:gridSpan w:val="3"/>
            <w:shd w:val="clear" w:color="auto" w:fill="auto"/>
            <w:vAlign w:val="center"/>
          </w:tcPr>
          <w:p w14:paraId="409E604E">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left"/>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项目喷淋塔排水、纯水制备尾水、废脱脂槽液、清洗废水、废阳极氧化槽液、废封闭槽液、阳极氧化车间保洁废水收集后进入自建污水处理设施处理，</w:t>
            </w:r>
            <w:r>
              <w:rPr>
                <w:rFonts w:hint="default" w:ascii="Times New Roman" w:hAnsi="Times New Roman" w:eastAsia="宋体" w:cs="Times New Roman"/>
                <w:color w:val="000000"/>
                <w:sz w:val="21"/>
                <w:szCs w:val="21"/>
                <w:highlight w:val="none"/>
              </w:rPr>
              <w:t>处理后</w:t>
            </w:r>
            <w:r>
              <w:rPr>
                <w:rFonts w:hint="eastAsia" w:ascii="Times New Roman" w:hAnsi="Times New Roman" w:eastAsia="宋体" w:cs="Times New Roman"/>
                <w:color w:val="000000"/>
                <w:sz w:val="21"/>
                <w:szCs w:val="21"/>
                <w:highlight w:val="none"/>
                <w:lang w:val="en-US" w:eastAsia="zh-CN"/>
              </w:rPr>
              <w:t>中水回用于阳极氧化线</w:t>
            </w:r>
            <w:r>
              <w:rPr>
                <w:rFonts w:hint="default" w:ascii="Times New Roman" w:hAnsi="Times New Roman" w:eastAsia="宋体" w:cs="Times New Roman"/>
                <w:color w:val="000000"/>
                <w:sz w:val="21"/>
                <w:szCs w:val="21"/>
                <w:highlight w:val="none"/>
              </w:rPr>
              <w:t>；生活污水</w:t>
            </w:r>
            <w:r>
              <w:rPr>
                <w:rFonts w:hint="eastAsia" w:ascii="Times New Roman" w:hAnsi="Times New Roman" w:eastAsia="宋体" w:cs="Times New Roman"/>
                <w:color w:val="000000"/>
                <w:sz w:val="21"/>
                <w:szCs w:val="21"/>
                <w:highlight w:val="none"/>
                <w:lang w:val="en-US" w:eastAsia="zh-CN"/>
              </w:rPr>
              <w:t>经自建化粪池预处理后通过市政污水管网进入鸦鸿桥镇污水处理厂处理</w:t>
            </w:r>
            <w:r>
              <w:rPr>
                <w:rFonts w:hint="eastAsia" w:ascii="Times New Roman" w:hAnsi="Times New Roman" w:eastAsia="宋体" w:cs="Times New Roman"/>
                <w:color w:val="000000"/>
                <w:sz w:val="21"/>
                <w:szCs w:val="21"/>
                <w:highlight w:val="none"/>
              </w:rPr>
              <w:t>。</w:t>
            </w:r>
          </w:p>
        </w:tc>
        <w:tc>
          <w:tcPr>
            <w:tcW w:w="1439" w:type="dxa"/>
            <w:vAlign w:val="center"/>
          </w:tcPr>
          <w:p w14:paraId="2D3504C1">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一致</w:t>
            </w:r>
          </w:p>
        </w:tc>
      </w:tr>
      <w:tr w14:paraId="0310A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70" w:type="dxa"/>
            <w:vMerge w:val="continue"/>
            <w:vAlign w:val="center"/>
          </w:tcPr>
          <w:p w14:paraId="19B2B404">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p>
        </w:tc>
        <w:tc>
          <w:tcPr>
            <w:tcW w:w="1114" w:type="dxa"/>
            <w:shd w:val="clear" w:color="000000" w:fill="auto"/>
            <w:vAlign w:val="center"/>
          </w:tcPr>
          <w:p w14:paraId="00A7AEC4">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rPr>
              <w:t>噪声</w:t>
            </w:r>
          </w:p>
        </w:tc>
        <w:tc>
          <w:tcPr>
            <w:tcW w:w="5646" w:type="dxa"/>
            <w:gridSpan w:val="3"/>
            <w:shd w:val="clear" w:color="000000" w:fill="auto"/>
            <w:vAlign w:val="center"/>
          </w:tcPr>
          <w:p w14:paraId="4F218A34">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rPr>
              <w:t>各产噪设备在设计和选型时均选择低噪产品；生产设备置于置于生产车间内南侧，污水处理设施设置于砖混结构污水处理站中，提升泵均为潜水泵，搅拌机也位于池体内；生产设备加装基础减振垫</w:t>
            </w:r>
            <w:r>
              <w:rPr>
                <w:rFonts w:hint="eastAsia" w:ascii="Times New Roman" w:hAnsi="Times New Roman" w:eastAsia="宋体" w:cs="Times New Roman"/>
                <w:color w:val="000000"/>
                <w:sz w:val="21"/>
                <w:szCs w:val="21"/>
                <w:highlight w:val="none"/>
                <w:lang w:eastAsia="zh-CN"/>
              </w:rPr>
              <w:t>。</w:t>
            </w:r>
          </w:p>
        </w:tc>
        <w:tc>
          <w:tcPr>
            <w:tcW w:w="5308" w:type="dxa"/>
            <w:gridSpan w:val="3"/>
            <w:shd w:val="clear" w:color="auto" w:fill="auto"/>
            <w:vAlign w:val="center"/>
          </w:tcPr>
          <w:p w14:paraId="09F84F02">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left"/>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rPr>
              <w:t>各产噪设备在设计和选型时均选择低噪产品；生产设备置于置于生产车间内南侧，污水处理设施设置于</w:t>
            </w:r>
            <w:r>
              <w:rPr>
                <w:rFonts w:hint="eastAsia" w:ascii="Times New Roman" w:hAnsi="Times New Roman" w:cs="Times New Roman"/>
                <w:color w:val="000000"/>
                <w:sz w:val="21"/>
                <w:szCs w:val="21"/>
                <w:highlight w:val="none"/>
                <w:lang w:val="en-US" w:eastAsia="zh-CN"/>
              </w:rPr>
              <w:t>彩钢</w:t>
            </w:r>
            <w:r>
              <w:rPr>
                <w:rFonts w:hint="eastAsia" w:ascii="Times New Roman" w:hAnsi="Times New Roman" w:eastAsia="宋体" w:cs="Times New Roman"/>
                <w:color w:val="000000"/>
                <w:sz w:val="21"/>
                <w:szCs w:val="21"/>
                <w:highlight w:val="none"/>
              </w:rPr>
              <w:t>结构</w:t>
            </w:r>
            <w:r>
              <w:rPr>
                <w:rFonts w:hint="eastAsia" w:ascii="Times New Roman" w:hAnsi="Times New Roman" w:eastAsia="宋体" w:cs="Times New Roman"/>
                <w:color w:val="000000"/>
                <w:sz w:val="21"/>
                <w:szCs w:val="21"/>
                <w:highlight w:val="none"/>
              </w:rPr>
              <w:t>污水处理站中，提升泵均为潜水泵，搅拌机也位于池体内；生产设备加装基础减振垫</w:t>
            </w:r>
            <w:r>
              <w:rPr>
                <w:rFonts w:hint="eastAsia" w:ascii="Times New Roman" w:hAnsi="Times New Roman" w:eastAsia="宋体" w:cs="Times New Roman"/>
                <w:color w:val="000000"/>
                <w:sz w:val="21"/>
                <w:szCs w:val="21"/>
                <w:highlight w:val="none"/>
                <w:lang w:eastAsia="zh-CN"/>
              </w:rPr>
              <w:t>。</w:t>
            </w:r>
          </w:p>
        </w:tc>
        <w:tc>
          <w:tcPr>
            <w:tcW w:w="1439" w:type="dxa"/>
            <w:vAlign w:val="center"/>
          </w:tcPr>
          <w:p w14:paraId="13ADB3BA">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部分一致，污水处理站实际建设为彩钢结构</w:t>
            </w:r>
          </w:p>
        </w:tc>
      </w:tr>
      <w:tr w14:paraId="1C14B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70" w:type="dxa"/>
            <w:vMerge w:val="continue"/>
            <w:vAlign w:val="center"/>
          </w:tcPr>
          <w:p w14:paraId="5CA9E3FA">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p>
        </w:tc>
        <w:tc>
          <w:tcPr>
            <w:tcW w:w="1114" w:type="dxa"/>
            <w:vMerge w:val="restart"/>
            <w:shd w:val="clear" w:color="000000" w:fill="auto"/>
            <w:vAlign w:val="center"/>
          </w:tcPr>
          <w:p w14:paraId="6CE4F6D6">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rPr>
              <w:t>固体废物</w:t>
            </w:r>
          </w:p>
        </w:tc>
        <w:tc>
          <w:tcPr>
            <w:tcW w:w="5646" w:type="dxa"/>
            <w:gridSpan w:val="3"/>
            <w:shd w:val="clear" w:color="000000" w:fill="auto"/>
            <w:vAlign w:val="center"/>
          </w:tcPr>
          <w:p w14:paraId="2FDF9169">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一般固废：切割废边角料、废金属屑、废抛光砂轮、废包装原料、除尘灰、废布袋、不合格产品收集后外售，纯水制备设备废活性炭、纯水制备设备废树脂膜收集后收集后由纯水制备设备厂家回收</w:t>
            </w:r>
            <w:r>
              <w:rPr>
                <w:rFonts w:hint="eastAsia" w:ascii="Times New Roman" w:hAnsi="Times New Roman" w:eastAsia="宋体" w:cs="Times New Roman"/>
                <w:color w:val="000000"/>
                <w:sz w:val="21"/>
                <w:szCs w:val="21"/>
                <w:highlight w:val="none"/>
                <w:lang w:eastAsia="zh-CN"/>
              </w:rPr>
              <w:t>。</w:t>
            </w:r>
          </w:p>
        </w:tc>
        <w:tc>
          <w:tcPr>
            <w:tcW w:w="5308" w:type="dxa"/>
            <w:gridSpan w:val="3"/>
            <w:shd w:val="clear" w:color="auto" w:fill="auto"/>
            <w:vAlign w:val="center"/>
          </w:tcPr>
          <w:p w14:paraId="36FB6D25">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left"/>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一般固废：切割废边角料、废金属屑、废抛光砂轮、废包装原料、除尘灰、废布袋、不合格产品收集后外售，纯水制备设备废活性炭、纯水制备设备废树脂膜收集后收集后由纯水制备设备厂家回收</w:t>
            </w:r>
            <w:r>
              <w:rPr>
                <w:rFonts w:hint="eastAsia" w:ascii="Times New Roman" w:hAnsi="Times New Roman" w:eastAsia="宋体" w:cs="Times New Roman"/>
                <w:color w:val="000000"/>
                <w:sz w:val="21"/>
                <w:szCs w:val="21"/>
                <w:highlight w:val="none"/>
                <w:lang w:eastAsia="zh-CN"/>
              </w:rPr>
              <w:t>。</w:t>
            </w:r>
          </w:p>
        </w:tc>
        <w:tc>
          <w:tcPr>
            <w:tcW w:w="1439" w:type="dxa"/>
            <w:vAlign w:val="center"/>
          </w:tcPr>
          <w:p w14:paraId="5B04B892">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一致</w:t>
            </w:r>
          </w:p>
        </w:tc>
      </w:tr>
      <w:tr w14:paraId="1C689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70" w:type="dxa"/>
            <w:vMerge w:val="continue"/>
          </w:tcPr>
          <w:p w14:paraId="299E68A3">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p>
        </w:tc>
        <w:tc>
          <w:tcPr>
            <w:tcW w:w="1114" w:type="dxa"/>
            <w:vMerge w:val="continue"/>
          </w:tcPr>
          <w:p w14:paraId="76966859">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p>
        </w:tc>
        <w:tc>
          <w:tcPr>
            <w:tcW w:w="5646" w:type="dxa"/>
            <w:gridSpan w:val="3"/>
            <w:shd w:val="clear" w:color="000000" w:fill="auto"/>
            <w:vAlign w:val="center"/>
          </w:tcPr>
          <w:p w14:paraId="15FD6964">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危险废物：</w:t>
            </w:r>
            <w:r>
              <w:rPr>
                <w:rFonts w:hint="eastAsia" w:ascii="Times New Roman" w:hAnsi="Times New Roman" w:eastAsia="宋体" w:cs="Times New Roman"/>
                <w:color w:val="000000"/>
                <w:sz w:val="21"/>
                <w:szCs w:val="21"/>
                <w:highlight w:val="none"/>
              </w:rPr>
              <w:t>废润滑油桶装收集暂存于危废库中，定期由有资质单位进行处理；废润滑油桶、化学品包装瓶/桶堆放于危废库中，定期由有资质单位进行处理；脱脂槽内油泥、废槽渣桶装收集暂存于危废库中；污水处理站污泥、污水处理设施隔油池废油、反渗透浓排水桶装收集后暂存于危废库中，定期由有资质单位进行处理；污水处理站废滤膜袋装收集后暂存于危废库中，定期由有资质单位进行处理</w:t>
            </w:r>
          </w:p>
        </w:tc>
        <w:tc>
          <w:tcPr>
            <w:tcW w:w="5308" w:type="dxa"/>
            <w:gridSpan w:val="3"/>
            <w:vAlign w:val="center"/>
          </w:tcPr>
          <w:p w14:paraId="19661C8E">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left"/>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危险废物：</w:t>
            </w:r>
            <w:r>
              <w:rPr>
                <w:rFonts w:hint="eastAsia" w:ascii="Times New Roman" w:hAnsi="Times New Roman" w:eastAsia="宋体" w:cs="Times New Roman"/>
                <w:color w:val="000000"/>
                <w:sz w:val="21"/>
                <w:szCs w:val="21"/>
                <w:highlight w:val="none"/>
              </w:rPr>
              <w:t>废润滑油桶装收集暂存于危废库中，定期由有资质单位进行处理；废润滑油桶、化学品包装瓶/桶堆放于危废库中，定期由有资质单位进行处理；脱脂槽内油泥、废槽渣桶装收集暂存于危废库中；污水处理站污泥、污水处理设施隔油池废油、反渗透浓排水桶装收集后暂存于危废库中，定期由有资质单位进行处理；污水处理站废滤膜袋装收集后暂存于危废库中，定期由有资质单位进行处理</w:t>
            </w:r>
          </w:p>
        </w:tc>
        <w:tc>
          <w:tcPr>
            <w:tcW w:w="1439" w:type="dxa"/>
            <w:vAlign w:val="center"/>
          </w:tcPr>
          <w:p w14:paraId="2829E8F9">
            <w:pPr>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一致</w:t>
            </w:r>
          </w:p>
        </w:tc>
      </w:tr>
      <w:tr w14:paraId="16CE8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70" w:type="dxa"/>
            <w:vMerge w:val="continue"/>
          </w:tcPr>
          <w:p w14:paraId="041D021F">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p>
        </w:tc>
        <w:tc>
          <w:tcPr>
            <w:tcW w:w="1114" w:type="dxa"/>
            <w:vMerge w:val="continue"/>
          </w:tcPr>
          <w:p w14:paraId="530BF294">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p>
        </w:tc>
        <w:tc>
          <w:tcPr>
            <w:tcW w:w="5646" w:type="dxa"/>
            <w:gridSpan w:val="3"/>
            <w:shd w:val="clear" w:color="000000" w:fill="auto"/>
            <w:vAlign w:val="center"/>
          </w:tcPr>
          <w:p w14:paraId="2EE4E7F3">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rPr>
              <w:t>职工生活垃圾：由环卫部门统一收集处理</w:t>
            </w:r>
          </w:p>
        </w:tc>
        <w:tc>
          <w:tcPr>
            <w:tcW w:w="5308" w:type="dxa"/>
            <w:gridSpan w:val="3"/>
            <w:vAlign w:val="center"/>
          </w:tcPr>
          <w:p w14:paraId="7F3888D3">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left"/>
              <w:textAlignment w:val="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rPr>
              <w:t>职工生活垃圾：由环卫部门统一收集处理</w:t>
            </w:r>
          </w:p>
        </w:tc>
        <w:tc>
          <w:tcPr>
            <w:tcW w:w="1439" w:type="dxa"/>
            <w:vAlign w:val="center"/>
          </w:tcPr>
          <w:p w14:paraId="744D7415">
            <w:pPr>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一致</w:t>
            </w:r>
          </w:p>
        </w:tc>
      </w:tr>
      <w:tr w14:paraId="503CE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70" w:type="dxa"/>
            <w:vMerge w:val="continue"/>
          </w:tcPr>
          <w:p w14:paraId="50909F7C">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p>
        </w:tc>
        <w:tc>
          <w:tcPr>
            <w:tcW w:w="1114" w:type="dxa"/>
            <w:shd w:val="clear" w:color="000000" w:fill="auto"/>
            <w:vAlign w:val="center"/>
          </w:tcPr>
          <w:p w14:paraId="1D38C6CC">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rPr>
              <w:t>危废间</w:t>
            </w:r>
          </w:p>
        </w:tc>
        <w:tc>
          <w:tcPr>
            <w:tcW w:w="5646" w:type="dxa"/>
            <w:gridSpan w:val="3"/>
            <w:shd w:val="clear" w:color="000000" w:fill="auto"/>
            <w:vAlign w:val="center"/>
          </w:tcPr>
          <w:p w14:paraId="5242EFF0">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双层彩钢结构，厂区</w:t>
            </w:r>
            <w:r>
              <w:rPr>
                <w:rFonts w:hint="eastAsia" w:ascii="Times New Roman" w:hAnsi="Times New Roman" w:eastAsia="宋体" w:cs="Times New Roman"/>
                <w:color w:val="000000"/>
                <w:sz w:val="21"/>
                <w:szCs w:val="21"/>
                <w:highlight w:val="none"/>
              </w:rPr>
              <w:t>南侧</w:t>
            </w:r>
            <w:r>
              <w:rPr>
                <w:rFonts w:hint="default" w:ascii="Times New Roman" w:hAnsi="Times New Roman" w:eastAsia="宋体" w:cs="Times New Roman"/>
                <w:color w:val="000000"/>
                <w:sz w:val="21"/>
                <w:szCs w:val="21"/>
                <w:highlight w:val="none"/>
              </w:rPr>
              <w:t>设置1处</w:t>
            </w:r>
            <w:r>
              <w:rPr>
                <w:rFonts w:hint="eastAsia" w:ascii="Times New Roman" w:hAnsi="Times New Roman" w:eastAsia="宋体" w:cs="Times New Roman"/>
                <w:color w:val="000000"/>
                <w:sz w:val="21"/>
                <w:szCs w:val="21"/>
                <w:highlight w:val="none"/>
                <w:lang w:val="en-US" w:eastAsia="zh-CN"/>
              </w:rPr>
              <w:t>5</w:t>
            </w:r>
            <w:r>
              <w:rPr>
                <w:rFonts w:hint="default" w:ascii="Times New Roman" w:hAnsi="Times New Roman" w:eastAsia="宋体" w:cs="Times New Roman"/>
                <w:color w:val="000000"/>
                <w:sz w:val="21"/>
                <w:szCs w:val="21"/>
                <w:highlight w:val="none"/>
              </w:rPr>
              <w:t>m</w:t>
            </w:r>
            <w:r>
              <w:rPr>
                <w:rFonts w:hint="default" w:ascii="Times New Roman" w:hAnsi="Times New Roman" w:eastAsia="宋体" w:cs="Times New Roman"/>
                <w:color w:val="000000"/>
                <w:sz w:val="21"/>
                <w:szCs w:val="21"/>
                <w:highlight w:val="none"/>
                <w:vertAlign w:val="superscript"/>
              </w:rPr>
              <w:t>2</w:t>
            </w:r>
            <w:r>
              <w:rPr>
                <w:rFonts w:hint="default" w:ascii="Times New Roman" w:hAnsi="Times New Roman" w:eastAsia="宋体" w:cs="Times New Roman"/>
                <w:color w:val="000000"/>
                <w:sz w:val="21"/>
                <w:szCs w:val="21"/>
                <w:highlight w:val="none"/>
              </w:rPr>
              <w:t>的危废间，地面与裙角要用坚固、防渗的材料建造，防渗层为2mm厚高密度聚乙烯，或至少2mm厚的其他人工材料，渗透系数≤10</w:t>
            </w:r>
            <w:r>
              <w:rPr>
                <w:rFonts w:hint="default" w:ascii="Times New Roman" w:hAnsi="Times New Roman" w:eastAsia="宋体" w:cs="Times New Roman"/>
                <w:color w:val="000000"/>
                <w:sz w:val="21"/>
                <w:szCs w:val="21"/>
                <w:highlight w:val="none"/>
                <w:vertAlign w:val="superscript"/>
              </w:rPr>
              <w:t>-10</w:t>
            </w:r>
            <w:r>
              <w:rPr>
                <w:rFonts w:hint="default" w:ascii="Times New Roman" w:hAnsi="Times New Roman" w:eastAsia="宋体" w:cs="Times New Roman"/>
                <w:color w:val="000000"/>
                <w:sz w:val="21"/>
                <w:szCs w:val="21"/>
                <w:highlight w:val="none"/>
              </w:rPr>
              <w:t>cm/s</w:t>
            </w:r>
          </w:p>
        </w:tc>
        <w:tc>
          <w:tcPr>
            <w:tcW w:w="5308" w:type="dxa"/>
            <w:gridSpan w:val="3"/>
            <w:shd w:val="clear" w:color="000000" w:fill="auto"/>
            <w:vAlign w:val="center"/>
          </w:tcPr>
          <w:p w14:paraId="54C200C0">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left"/>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双层彩钢结构，厂区</w:t>
            </w:r>
            <w:r>
              <w:rPr>
                <w:rFonts w:hint="eastAsia" w:ascii="Times New Roman" w:hAnsi="Times New Roman" w:eastAsia="宋体" w:cs="Times New Roman"/>
                <w:color w:val="000000"/>
                <w:sz w:val="21"/>
                <w:szCs w:val="21"/>
                <w:highlight w:val="none"/>
              </w:rPr>
              <w:t>南侧</w:t>
            </w:r>
            <w:r>
              <w:rPr>
                <w:rFonts w:hint="default" w:ascii="Times New Roman" w:hAnsi="Times New Roman" w:eastAsia="宋体" w:cs="Times New Roman"/>
                <w:color w:val="000000"/>
                <w:sz w:val="21"/>
                <w:szCs w:val="21"/>
                <w:highlight w:val="none"/>
              </w:rPr>
              <w:t>设置1处</w:t>
            </w:r>
            <w:r>
              <w:rPr>
                <w:rFonts w:hint="eastAsia" w:ascii="Times New Roman" w:hAnsi="Times New Roman" w:eastAsia="宋体" w:cs="Times New Roman"/>
                <w:color w:val="000000"/>
                <w:sz w:val="21"/>
                <w:szCs w:val="21"/>
                <w:highlight w:val="none"/>
                <w:lang w:val="en-US" w:eastAsia="zh-CN"/>
              </w:rPr>
              <w:t>5</w:t>
            </w:r>
            <w:r>
              <w:rPr>
                <w:rFonts w:hint="default" w:ascii="Times New Roman" w:hAnsi="Times New Roman" w:eastAsia="宋体" w:cs="Times New Roman"/>
                <w:color w:val="000000"/>
                <w:sz w:val="21"/>
                <w:szCs w:val="21"/>
                <w:highlight w:val="none"/>
              </w:rPr>
              <w:t>m</w:t>
            </w:r>
            <w:r>
              <w:rPr>
                <w:rFonts w:hint="default" w:ascii="Times New Roman" w:hAnsi="Times New Roman" w:eastAsia="宋体" w:cs="Times New Roman"/>
                <w:color w:val="000000"/>
                <w:sz w:val="21"/>
                <w:szCs w:val="21"/>
                <w:highlight w:val="none"/>
                <w:vertAlign w:val="superscript"/>
              </w:rPr>
              <w:t>2</w:t>
            </w:r>
            <w:r>
              <w:rPr>
                <w:rFonts w:hint="default" w:ascii="Times New Roman" w:hAnsi="Times New Roman" w:eastAsia="宋体" w:cs="Times New Roman"/>
                <w:color w:val="000000"/>
                <w:sz w:val="21"/>
                <w:szCs w:val="21"/>
                <w:highlight w:val="none"/>
              </w:rPr>
              <w:t>的危废间，地面与裙角要用坚固、防渗的材料建造，防渗层为2mm厚高密度聚乙烯，或至少2mm厚的其他人工材料，渗透系数≤10</w:t>
            </w:r>
            <w:r>
              <w:rPr>
                <w:rFonts w:hint="default" w:ascii="Times New Roman" w:hAnsi="Times New Roman" w:eastAsia="宋体" w:cs="Times New Roman"/>
                <w:color w:val="000000"/>
                <w:sz w:val="21"/>
                <w:szCs w:val="21"/>
                <w:highlight w:val="none"/>
                <w:vertAlign w:val="superscript"/>
              </w:rPr>
              <w:t>-10</w:t>
            </w:r>
            <w:r>
              <w:rPr>
                <w:rFonts w:hint="default" w:ascii="Times New Roman" w:hAnsi="Times New Roman" w:eastAsia="宋体" w:cs="Times New Roman"/>
                <w:color w:val="000000"/>
                <w:sz w:val="21"/>
                <w:szCs w:val="21"/>
                <w:highlight w:val="none"/>
              </w:rPr>
              <w:t>cm/s</w:t>
            </w:r>
          </w:p>
        </w:tc>
        <w:tc>
          <w:tcPr>
            <w:tcW w:w="1439" w:type="dxa"/>
            <w:vAlign w:val="center"/>
          </w:tcPr>
          <w:p w14:paraId="6F792423">
            <w:pPr>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一致</w:t>
            </w:r>
          </w:p>
        </w:tc>
      </w:tr>
      <w:tr w14:paraId="659CE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70" w:type="dxa"/>
            <w:vMerge w:val="continue"/>
          </w:tcPr>
          <w:p w14:paraId="0F5A740A">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p>
        </w:tc>
        <w:tc>
          <w:tcPr>
            <w:tcW w:w="1114" w:type="dxa"/>
            <w:shd w:val="clear" w:color="000000" w:fill="auto"/>
            <w:vAlign w:val="center"/>
          </w:tcPr>
          <w:p w14:paraId="616C0E25">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防腐防渗</w:t>
            </w:r>
          </w:p>
        </w:tc>
        <w:tc>
          <w:tcPr>
            <w:tcW w:w="5646" w:type="dxa"/>
            <w:gridSpan w:val="3"/>
            <w:shd w:val="clear" w:color="000000" w:fill="auto"/>
            <w:vAlign w:val="center"/>
          </w:tcPr>
          <w:p w14:paraId="0EA8F0E6">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各单元防渗工程的设计使用年限不低于相对应设备、管道或建构筑物的设计使用年限；</w:t>
            </w:r>
          </w:p>
          <w:p w14:paraId="0257B24C">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eastAsia"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重点防渗区</w:t>
            </w:r>
            <w:r>
              <w:rPr>
                <w:rFonts w:hint="eastAsia" w:ascii="Times New Roman" w:hAnsi="Times New Roman" w:eastAsia="宋体" w:cs="Times New Roman"/>
                <w:color w:val="000000"/>
                <w:sz w:val="21"/>
                <w:szCs w:val="21"/>
                <w:highlight w:val="none"/>
                <w:lang w:val="en-US" w:eastAsia="zh-CN"/>
              </w:rPr>
              <w:t>（阳极氧化生产线、危废间、污水处理站、化学品库）</w:t>
            </w:r>
            <w:r>
              <w:rPr>
                <w:rFonts w:hint="default" w:ascii="Times New Roman" w:hAnsi="Times New Roman" w:eastAsia="宋体" w:cs="Times New Roman"/>
                <w:color w:val="000000"/>
                <w:sz w:val="21"/>
                <w:szCs w:val="21"/>
                <w:highlight w:val="none"/>
                <w:lang w:val="en-US" w:eastAsia="zh-CN"/>
              </w:rPr>
              <w:t>的防渗性能应与6.0m厚黏土层，（渗透系数≤1.0×</w:t>
            </w:r>
            <w:r>
              <w:rPr>
                <w:rFonts w:hint="default" w:ascii="Times New Roman" w:hAnsi="Times New Roman" w:eastAsia="宋体" w:cs="Times New Roman"/>
                <w:color w:val="000000"/>
                <w:sz w:val="21"/>
                <w:szCs w:val="21"/>
                <w:highlight w:val="none"/>
              </w:rPr>
              <w:t>10</w:t>
            </w:r>
            <w:r>
              <w:rPr>
                <w:rFonts w:hint="default" w:ascii="Times New Roman" w:hAnsi="Times New Roman" w:eastAsia="宋体" w:cs="Times New Roman"/>
                <w:color w:val="000000"/>
                <w:sz w:val="21"/>
                <w:szCs w:val="21"/>
                <w:highlight w:val="none"/>
                <w:vertAlign w:val="superscript"/>
              </w:rPr>
              <w:t>-10</w:t>
            </w:r>
            <w:r>
              <w:rPr>
                <w:rFonts w:hint="default" w:ascii="Times New Roman" w:hAnsi="Times New Roman" w:eastAsia="宋体" w:cs="Times New Roman"/>
                <w:color w:val="000000"/>
                <w:sz w:val="21"/>
                <w:szCs w:val="21"/>
                <w:highlight w:val="none"/>
                <w:lang w:val="en-US" w:eastAsia="zh-CN"/>
              </w:rPr>
              <w:t>cm/s）等效。危废间渗透系数≤1.0×</w:t>
            </w:r>
            <w:r>
              <w:rPr>
                <w:rFonts w:hint="default" w:ascii="Times New Roman" w:hAnsi="Times New Roman" w:eastAsia="宋体" w:cs="Times New Roman"/>
                <w:color w:val="000000"/>
                <w:sz w:val="21"/>
                <w:szCs w:val="21"/>
                <w:highlight w:val="none"/>
              </w:rPr>
              <w:t>10</w:t>
            </w:r>
            <w:r>
              <w:rPr>
                <w:rFonts w:hint="default" w:ascii="Times New Roman" w:hAnsi="Times New Roman" w:eastAsia="宋体" w:cs="Times New Roman"/>
                <w:color w:val="000000"/>
                <w:sz w:val="21"/>
                <w:szCs w:val="21"/>
                <w:highlight w:val="none"/>
                <w:vertAlign w:val="superscript"/>
              </w:rPr>
              <w:t>-10</w:t>
            </w:r>
            <w:r>
              <w:rPr>
                <w:rFonts w:hint="default" w:ascii="Times New Roman" w:hAnsi="Times New Roman" w:eastAsia="宋体" w:cs="Times New Roman"/>
                <w:color w:val="000000"/>
                <w:sz w:val="21"/>
                <w:szCs w:val="21"/>
                <w:highlight w:val="none"/>
                <w:lang w:val="en-US" w:eastAsia="zh-CN"/>
              </w:rPr>
              <w:t>cm/s</w:t>
            </w:r>
            <w:r>
              <w:rPr>
                <w:rFonts w:hint="eastAsia" w:ascii="Times New Roman" w:hAnsi="Times New Roman" w:eastAsia="宋体" w:cs="Times New Roman"/>
                <w:color w:val="000000"/>
                <w:sz w:val="21"/>
                <w:szCs w:val="21"/>
                <w:highlight w:val="none"/>
                <w:lang w:val="en-US" w:eastAsia="zh-CN"/>
              </w:rPr>
              <w:t>；</w:t>
            </w:r>
          </w:p>
          <w:p w14:paraId="71A2FB63">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阳极氧化生产线所有池体全部架空设置，生产线废水输送管道均设置于地上，做到全部可视，池体采用PP塑料材质，池体外围设置明沟，做防腐防渗处理，加盖篦子，收集洒落槽液；明沟外设置15~20cm围堰，围堰内部涂刷环氧树脂做防腐防渗处理，做到车间干湿分区；阳极氧化</w:t>
            </w:r>
            <w:r>
              <w:rPr>
                <w:rFonts w:hint="default" w:ascii="Times New Roman" w:hAnsi="Times New Roman" w:eastAsia="宋体" w:cs="Times New Roman"/>
                <w:color w:val="000000"/>
                <w:sz w:val="21"/>
                <w:szCs w:val="21"/>
                <w:highlight w:val="none"/>
                <w:lang w:val="en-US" w:eastAsia="zh-CN"/>
              </w:rPr>
              <w:t>生产车间地面采取双层防渗措施</w:t>
            </w:r>
            <w:r>
              <w:rPr>
                <w:rFonts w:hint="eastAsia" w:ascii="Times New Roman" w:hAnsi="Times New Roman" w:eastAsia="宋体" w:cs="Times New Roman"/>
                <w:color w:val="000000"/>
                <w:sz w:val="21"/>
                <w:szCs w:val="21"/>
                <w:highlight w:val="none"/>
                <w:lang w:val="en-US" w:eastAsia="zh-CN"/>
              </w:rPr>
              <w:t>，</w:t>
            </w:r>
            <w:r>
              <w:rPr>
                <w:rFonts w:hint="default" w:ascii="Times New Roman" w:hAnsi="Times New Roman" w:eastAsia="宋体" w:cs="Times New Roman"/>
                <w:color w:val="000000"/>
                <w:sz w:val="21"/>
                <w:szCs w:val="21"/>
                <w:highlight w:val="none"/>
                <w:lang w:val="en-US" w:eastAsia="zh-CN"/>
              </w:rPr>
              <w:t>在底层铺</w:t>
            </w:r>
            <w:r>
              <w:rPr>
                <w:rFonts w:hint="eastAsia" w:ascii="Times New Roman" w:hAnsi="Times New Roman" w:eastAsia="宋体" w:cs="Times New Roman"/>
                <w:color w:val="000000"/>
                <w:sz w:val="21"/>
                <w:szCs w:val="21"/>
                <w:highlight w:val="none"/>
                <w:lang w:val="en-US" w:eastAsia="zh-CN"/>
              </w:rPr>
              <w:t>6</w:t>
            </w:r>
            <w:r>
              <w:rPr>
                <w:rFonts w:hint="default" w:ascii="Times New Roman" w:hAnsi="Times New Roman" w:eastAsia="宋体" w:cs="Times New Roman"/>
                <w:color w:val="000000"/>
                <w:sz w:val="21"/>
                <w:szCs w:val="21"/>
                <w:highlight w:val="none"/>
                <w:lang w:val="en-US" w:eastAsia="zh-CN"/>
              </w:rPr>
              <w:t>cm厚的三合土，压实；其上铺沥青或水泥硬化地面防渗</w:t>
            </w:r>
            <w:r>
              <w:rPr>
                <w:rFonts w:hint="eastAsia" w:ascii="Times New Roman" w:hAnsi="Times New Roman" w:eastAsia="宋体" w:cs="Times New Roman"/>
                <w:color w:val="000000"/>
                <w:sz w:val="21"/>
                <w:szCs w:val="21"/>
                <w:highlight w:val="none"/>
                <w:lang w:val="en-US" w:eastAsia="zh-CN"/>
              </w:rPr>
              <w:t>，地面及25cm踢脚线涂刷环氧树脂漆；</w:t>
            </w:r>
          </w:p>
          <w:p w14:paraId="338F0A16">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污水处理站、事故应急池做防腐防渗，池体由混凝土一体化浇筑，</w:t>
            </w:r>
            <w:r>
              <w:rPr>
                <w:rFonts w:hint="default" w:ascii="Times New Roman" w:hAnsi="Times New Roman" w:eastAsia="宋体" w:cs="Times New Roman"/>
                <w:color w:val="000000"/>
                <w:sz w:val="21"/>
                <w:szCs w:val="21"/>
                <w:highlight w:val="none"/>
                <w:lang w:val="en-US" w:eastAsia="zh-CN"/>
              </w:rPr>
              <w:t>池底与池壁铺设环氧树脂+玻璃纤维防水材料</w:t>
            </w:r>
            <w:r>
              <w:rPr>
                <w:rFonts w:hint="eastAsia" w:ascii="Times New Roman" w:hAnsi="Times New Roman" w:eastAsia="宋体" w:cs="Times New Roman"/>
                <w:color w:val="000000"/>
                <w:sz w:val="21"/>
                <w:szCs w:val="21"/>
                <w:highlight w:val="none"/>
                <w:lang w:val="en-US" w:eastAsia="zh-CN"/>
              </w:rPr>
              <w:t>；</w:t>
            </w:r>
          </w:p>
          <w:p w14:paraId="371F9C1A">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化学品仓库、</w:t>
            </w:r>
            <w:r>
              <w:rPr>
                <w:rFonts w:hint="default" w:ascii="Times New Roman" w:hAnsi="Times New Roman" w:eastAsia="宋体" w:cs="Times New Roman"/>
                <w:color w:val="000000"/>
                <w:sz w:val="21"/>
                <w:szCs w:val="21"/>
                <w:highlight w:val="none"/>
                <w:lang w:val="en-US" w:eastAsia="zh-CN"/>
              </w:rPr>
              <w:t>危废间</w:t>
            </w:r>
            <w:r>
              <w:rPr>
                <w:rFonts w:hint="eastAsia" w:ascii="Times New Roman" w:hAnsi="Times New Roman" w:eastAsia="宋体" w:cs="Times New Roman"/>
                <w:color w:val="000000"/>
                <w:sz w:val="21"/>
                <w:szCs w:val="21"/>
                <w:highlight w:val="none"/>
                <w:lang w:val="en-US" w:eastAsia="zh-CN"/>
              </w:rPr>
              <w:t>地面与裙脚采取防渗措施，有堵截泄漏的裙脚，地面及裙角均采取抗渗水泥防渗，设置至少2mm厚高密度聚乙烯或其他人工材料的防渗层，裙角高度0.2m，防渗层渗透系数小于1×</w:t>
            </w:r>
            <w:r>
              <w:rPr>
                <w:rFonts w:hint="default" w:ascii="Times New Roman" w:hAnsi="Times New Roman" w:eastAsia="宋体" w:cs="Times New Roman"/>
                <w:color w:val="000000"/>
                <w:sz w:val="21"/>
                <w:szCs w:val="21"/>
                <w:highlight w:val="none"/>
              </w:rPr>
              <w:t>10</w:t>
            </w:r>
            <w:r>
              <w:rPr>
                <w:rFonts w:hint="default" w:ascii="Times New Roman" w:hAnsi="Times New Roman" w:eastAsia="宋体" w:cs="Times New Roman"/>
                <w:color w:val="000000"/>
                <w:sz w:val="21"/>
                <w:szCs w:val="21"/>
                <w:highlight w:val="none"/>
                <w:vertAlign w:val="superscript"/>
              </w:rPr>
              <w:t>-10</w:t>
            </w:r>
            <w:r>
              <w:rPr>
                <w:rFonts w:hint="eastAsia" w:ascii="Times New Roman" w:hAnsi="Times New Roman" w:eastAsia="宋体" w:cs="Times New Roman"/>
                <w:color w:val="000000"/>
                <w:sz w:val="21"/>
                <w:szCs w:val="21"/>
                <w:highlight w:val="none"/>
                <w:lang w:val="en-US" w:eastAsia="zh-CN"/>
              </w:rPr>
              <w:t>cm/s。地面及四周裙脚均应耐腐蚀，耐热且表面无裂隙，同时设置泄漏液体的收集装置。危废间设有隔离设施、报警装置和防风、防晒、防雨等安全设施，有泄漏液体收集装置，设施内有安全照明装置和观察窗口；</w:t>
            </w:r>
          </w:p>
          <w:p w14:paraId="0CA7B134">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一般防渗区：</w:t>
            </w:r>
            <w:r>
              <w:rPr>
                <w:rFonts w:hint="default" w:ascii="Times New Roman" w:hAnsi="Times New Roman" w:eastAsia="宋体" w:cs="Times New Roman"/>
                <w:color w:val="000000"/>
                <w:sz w:val="21"/>
                <w:szCs w:val="21"/>
                <w:highlight w:val="none"/>
              </w:rPr>
              <w:t>采用天然或人工材料构筑防渗层，防渗层的厚度应相当于渗透系数为1.0×10-7cm/s、厚度1.5m的粘土层的防渗性能</w:t>
            </w:r>
            <w:r>
              <w:rPr>
                <w:rFonts w:hint="eastAsia" w:ascii="Times New Roman" w:hAnsi="Times New Roman" w:eastAsia="宋体" w:cs="Times New Roman"/>
                <w:color w:val="000000"/>
                <w:sz w:val="21"/>
                <w:szCs w:val="21"/>
                <w:highlight w:val="none"/>
                <w:lang w:eastAsia="zh-CN"/>
              </w:rPr>
              <w:t>；</w:t>
            </w:r>
          </w:p>
          <w:p w14:paraId="34B63EED">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项目区域除绿化用地之外应全部进行硬化处理，实现厂区内不见黄土</w:t>
            </w:r>
            <w:r>
              <w:rPr>
                <w:rFonts w:hint="eastAsia" w:ascii="Times New Roman" w:hAnsi="Times New Roman" w:eastAsia="宋体" w:cs="Times New Roman"/>
                <w:color w:val="000000"/>
                <w:sz w:val="21"/>
                <w:szCs w:val="21"/>
                <w:highlight w:val="none"/>
                <w:lang w:val="en-US" w:eastAsia="zh-CN"/>
              </w:rPr>
              <w:t>；</w:t>
            </w:r>
            <w:r>
              <w:rPr>
                <w:rFonts w:hint="default" w:ascii="Times New Roman" w:hAnsi="Times New Roman" w:eastAsia="宋体" w:cs="Times New Roman"/>
                <w:color w:val="000000"/>
                <w:sz w:val="21"/>
                <w:szCs w:val="21"/>
                <w:highlight w:val="none"/>
                <w:lang w:val="en-US" w:eastAsia="zh-CN"/>
              </w:rPr>
              <w:t>加强厂区防渗、防腐设施的检查、维修力度，确保防渗措施。</w:t>
            </w:r>
          </w:p>
        </w:tc>
        <w:tc>
          <w:tcPr>
            <w:tcW w:w="5308" w:type="dxa"/>
            <w:gridSpan w:val="3"/>
            <w:shd w:val="clear" w:color="000000" w:fill="auto"/>
            <w:vAlign w:val="center"/>
          </w:tcPr>
          <w:p w14:paraId="303EC8F0">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各单元防渗工程的设计使用年限不低于相对应设备、管道或建构筑物的设计使用年限；</w:t>
            </w:r>
          </w:p>
          <w:p w14:paraId="15402690">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eastAsia"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重点防渗区</w:t>
            </w:r>
            <w:r>
              <w:rPr>
                <w:rFonts w:hint="eastAsia" w:ascii="Times New Roman" w:hAnsi="Times New Roman" w:eastAsia="宋体" w:cs="Times New Roman"/>
                <w:color w:val="000000"/>
                <w:sz w:val="21"/>
                <w:szCs w:val="21"/>
                <w:highlight w:val="none"/>
                <w:lang w:val="en-US" w:eastAsia="zh-CN"/>
              </w:rPr>
              <w:t>（阳极氧化生产线、危废间、污水处理站）</w:t>
            </w:r>
            <w:r>
              <w:rPr>
                <w:rFonts w:hint="default" w:ascii="Times New Roman" w:hAnsi="Times New Roman" w:eastAsia="宋体" w:cs="Times New Roman"/>
                <w:color w:val="000000"/>
                <w:sz w:val="21"/>
                <w:szCs w:val="21"/>
                <w:highlight w:val="none"/>
                <w:lang w:val="en-US" w:eastAsia="zh-CN"/>
              </w:rPr>
              <w:t>的防渗性能应与6.0m厚黏土层，（渗透系数≤1.0×</w:t>
            </w:r>
            <w:r>
              <w:rPr>
                <w:rFonts w:hint="default" w:ascii="Times New Roman" w:hAnsi="Times New Roman" w:eastAsia="宋体" w:cs="Times New Roman"/>
                <w:color w:val="000000"/>
                <w:sz w:val="21"/>
                <w:szCs w:val="21"/>
                <w:highlight w:val="none"/>
              </w:rPr>
              <w:t>10</w:t>
            </w:r>
            <w:r>
              <w:rPr>
                <w:rFonts w:hint="default" w:ascii="Times New Roman" w:hAnsi="Times New Roman" w:eastAsia="宋体" w:cs="Times New Roman"/>
                <w:color w:val="000000"/>
                <w:sz w:val="21"/>
                <w:szCs w:val="21"/>
                <w:highlight w:val="none"/>
                <w:vertAlign w:val="superscript"/>
              </w:rPr>
              <w:t>-10</w:t>
            </w:r>
            <w:r>
              <w:rPr>
                <w:rFonts w:hint="default" w:ascii="Times New Roman" w:hAnsi="Times New Roman" w:eastAsia="宋体" w:cs="Times New Roman"/>
                <w:color w:val="000000"/>
                <w:sz w:val="21"/>
                <w:szCs w:val="21"/>
                <w:highlight w:val="none"/>
                <w:lang w:val="en-US" w:eastAsia="zh-CN"/>
              </w:rPr>
              <w:t>cm/s）等效。危废间渗透系数≤1.0×</w:t>
            </w:r>
            <w:r>
              <w:rPr>
                <w:rFonts w:hint="default" w:ascii="Times New Roman" w:hAnsi="Times New Roman" w:eastAsia="宋体" w:cs="Times New Roman"/>
                <w:color w:val="000000"/>
                <w:sz w:val="21"/>
                <w:szCs w:val="21"/>
                <w:highlight w:val="none"/>
              </w:rPr>
              <w:t>10</w:t>
            </w:r>
            <w:r>
              <w:rPr>
                <w:rFonts w:hint="default" w:ascii="Times New Roman" w:hAnsi="Times New Roman" w:eastAsia="宋体" w:cs="Times New Roman"/>
                <w:color w:val="000000"/>
                <w:sz w:val="21"/>
                <w:szCs w:val="21"/>
                <w:highlight w:val="none"/>
                <w:vertAlign w:val="superscript"/>
              </w:rPr>
              <w:t>-10</w:t>
            </w:r>
            <w:r>
              <w:rPr>
                <w:rFonts w:hint="default" w:ascii="Times New Roman" w:hAnsi="Times New Roman" w:eastAsia="宋体" w:cs="Times New Roman"/>
                <w:color w:val="000000"/>
                <w:sz w:val="21"/>
                <w:szCs w:val="21"/>
                <w:highlight w:val="none"/>
                <w:lang w:val="en-US" w:eastAsia="zh-CN"/>
              </w:rPr>
              <w:t>cm/s</w:t>
            </w:r>
            <w:r>
              <w:rPr>
                <w:rFonts w:hint="eastAsia" w:ascii="Times New Roman" w:hAnsi="Times New Roman" w:eastAsia="宋体" w:cs="Times New Roman"/>
                <w:color w:val="000000"/>
                <w:sz w:val="21"/>
                <w:szCs w:val="21"/>
                <w:highlight w:val="none"/>
                <w:lang w:val="en-US" w:eastAsia="zh-CN"/>
              </w:rPr>
              <w:t>；</w:t>
            </w:r>
          </w:p>
          <w:p w14:paraId="359C28CB">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阳极氧化生产线所有池体全部架空设置，生产线废水输送管道均设置于地上，做到全部可视，池体采用PP塑料材质，池体外围设置明沟，做防腐防渗处理，加盖篦子，收集洒落槽液；明沟外设置15~20cm围堰，围堰内部涂刷环氧树脂做防腐防渗处理，做到车间干湿分区；阳极氧化</w:t>
            </w:r>
            <w:r>
              <w:rPr>
                <w:rFonts w:hint="default" w:ascii="Times New Roman" w:hAnsi="Times New Roman" w:eastAsia="宋体" w:cs="Times New Roman"/>
                <w:color w:val="000000"/>
                <w:sz w:val="21"/>
                <w:szCs w:val="21"/>
                <w:highlight w:val="none"/>
                <w:lang w:val="en-US" w:eastAsia="zh-CN"/>
              </w:rPr>
              <w:t>生产车间地面采取双层防渗措施</w:t>
            </w:r>
            <w:r>
              <w:rPr>
                <w:rFonts w:hint="eastAsia" w:ascii="Times New Roman" w:hAnsi="Times New Roman" w:eastAsia="宋体" w:cs="Times New Roman"/>
                <w:color w:val="000000"/>
                <w:sz w:val="21"/>
                <w:szCs w:val="21"/>
                <w:highlight w:val="none"/>
                <w:lang w:val="en-US" w:eastAsia="zh-CN"/>
              </w:rPr>
              <w:t>，</w:t>
            </w:r>
            <w:r>
              <w:rPr>
                <w:rFonts w:hint="default" w:ascii="Times New Roman" w:hAnsi="Times New Roman" w:eastAsia="宋体" w:cs="Times New Roman"/>
                <w:color w:val="000000"/>
                <w:sz w:val="21"/>
                <w:szCs w:val="21"/>
                <w:highlight w:val="none"/>
                <w:lang w:val="en-US" w:eastAsia="zh-CN"/>
              </w:rPr>
              <w:t>在底层铺</w:t>
            </w:r>
            <w:r>
              <w:rPr>
                <w:rFonts w:hint="eastAsia" w:ascii="Times New Roman" w:hAnsi="Times New Roman" w:eastAsia="宋体" w:cs="Times New Roman"/>
                <w:color w:val="000000"/>
                <w:sz w:val="21"/>
                <w:szCs w:val="21"/>
                <w:highlight w:val="none"/>
                <w:lang w:val="en-US" w:eastAsia="zh-CN"/>
              </w:rPr>
              <w:t>6</w:t>
            </w:r>
            <w:r>
              <w:rPr>
                <w:rFonts w:hint="default" w:ascii="Times New Roman" w:hAnsi="Times New Roman" w:eastAsia="宋体" w:cs="Times New Roman"/>
                <w:color w:val="000000"/>
                <w:sz w:val="21"/>
                <w:szCs w:val="21"/>
                <w:highlight w:val="none"/>
                <w:lang w:val="en-US" w:eastAsia="zh-CN"/>
              </w:rPr>
              <w:t>cm厚的三合土，压实；其上铺沥青或水泥硬化地面防渗</w:t>
            </w:r>
            <w:r>
              <w:rPr>
                <w:rFonts w:hint="eastAsia" w:ascii="Times New Roman" w:hAnsi="Times New Roman" w:eastAsia="宋体" w:cs="Times New Roman"/>
                <w:color w:val="000000"/>
                <w:sz w:val="21"/>
                <w:szCs w:val="21"/>
                <w:highlight w:val="none"/>
                <w:lang w:val="en-US" w:eastAsia="zh-CN"/>
              </w:rPr>
              <w:t>，地面及25cm踢脚线涂刷环氧树脂漆；</w:t>
            </w:r>
          </w:p>
          <w:p w14:paraId="5C695F0A">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污水处理站、事故应急池做防腐防渗，池体由混凝土一体化浇筑，</w:t>
            </w:r>
            <w:r>
              <w:rPr>
                <w:rFonts w:hint="default" w:ascii="Times New Roman" w:hAnsi="Times New Roman" w:eastAsia="宋体" w:cs="Times New Roman"/>
                <w:color w:val="000000"/>
                <w:sz w:val="21"/>
                <w:szCs w:val="21"/>
                <w:highlight w:val="none"/>
                <w:lang w:val="en-US" w:eastAsia="zh-CN"/>
              </w:rPr>
              <w:t>池底与池壁铺设环氧树脂+玻璃纤维防水材料</w:t>
            </w:r>
            <w:r>
              <w:rPr>
                <w:rFonts w:hint="eastAsia" w:ascii="Times New Roman" w:hAnsi="Times New Roman" w:eastAsia="宋体" w:cs="Times New Roman"/>
                <w:color w:val="000000"/>
                <w:sz w:val="21"/>
                <w:szCs w:val="21"/>
                <w:highlight w:val="none"/>
                <w:lang w:val="en-US" w:eastAsia="zh-CN"/>
              </w:rPr>
              <w:t>；</w:t>
            </w:r>
          </w:p>
          <w:p w14:paraId="0BF0765F">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eastAsia"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危废间</w:t>
            </w:r>
            <w:r>
              <w:rPr>
                <w:rFonts w:hint="eastAsia" w:ascii="Times New Roman" w:hAnsi="Times New Roman" w:eastAsia="宋体" w:cs="Times New Roman"/>
                <w:color w:val="000000"/>
                <w:sz w:val="21"/>
                <w:szCs w:val="21"/>
                <w:highlight w:val="none"/>
                <w:lang w:val="en-US" w:eastAsia="zh-CN"/>
              </w:rPr>
              <w:t>地面与裙脚</w:t>
            </w:r>
            <w:r>
              <w:rPr>
                <w:rFonts w:hint="eastAsia" w:ascii="Times New Roman" w:hAnsi="Times New Roman" w:eastAsia="宋体" w:cs="Times New Roman"/>
                <w:color w:val="000000"/>
                <w:sz w:val="21"/>
                <w:szCs w:val="21"/>
                <w:highlight w:val="none"/>
                <w:lang w:val="en-US" w:eastAsia="zh-CN"/>
              </w:rPr>
              <w:t>采取防渗措施，有堵截泄漏的裙脚，地面及裙角均采取抗渗水泥防渗，设置至少2mm厚高密度聚乙烯或其他人工材料的防渗层，裙角高度0.2m，防渗层渗透系数小于1×</w:t>
            </w:r>
            <w:r>
              <w:rPr>
                <w:rFonts w:hint="default" w:ascii="Times New Roman" w:hAnsi="Times New Roman" w:eastAsia="宋体" w:cs="Times New Roman"/>
                <w:color w:val="000000"/>
                <w:sz w:val="21"/>
                <w:szCs w:val="21"/>
                <w:highlight w:val="none"/>
              </w:rPr>
              <w:t>10</w:t>
            </w:r>
            <w:r>
              <w:rPr>
                <w:rFonts w:hint="default" w:ascii="Times New Roman" w:hAnsi="Times New Roman" w:eastAsia="宋体" w:cs="Times New Roman"/>
                <w:color w:val="000000"/>
                <w:sz w:val="21"/>
                <w:szCs w:val="21"/>
                <w:highlight w:val="none"/>
                <w:vertAlign w:val="superscript"/>
              </w:rPr>
              <w:t>-10</w:t>
            </w:r>
            <w:r>
              <w:rPr>
                <w:rFonts w:hint="eastAsia" w:ascii="Times New Roman" w:hAnsi="Times New Roman" w:eastAsia="宋体" w:cs="Times New Roman"/>
                <w:color w:val="000000"/>
                <w:sz w:val="21"/>
                <w:szCs w:val="21"/>
                <w:highlight w:val="none"/>
                <w:lang w:val="en-US" w:eastAsia="zh-CN"/>
              </w:rPr>
              <w:t>cm/s。地面及四周裙脚均应耐腐蚀，耐热且表面无裂隙，同时设置泄漏液体的收集装置。危废间设有隔离设施、报警装置和防风、防晒、防雨等安全设施，有泄漏液体收集装置，设施内有安全照明装置和观察窗口；</w:t>
            </w:r>
          </w:p>
          <w:p w14:paraId="0FE027E6">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一般防渗区：</w:t>
            </w:r>
            <w:r>
              <w:rPr>
                <w:rFonts w:hint="default" w:ascii="Times New Roman" w:hAnsi="Times New Roman" w:eastAsia="宋体" w:cs="Times New Roman"/>
                <w:color w:val="000000"/>
                <w:sz w:val="21"/>
                <w:szCs w:val="21"/>
                <w:highlight w:val="none"/>
              </w:rPr>
              <w:t>采用天然或人工材料构筑防渗层，防渗层的厚度应相当于渗透系数为1.0×10</w:t>
            </w:r>
            <w:r>
              <w:rPr>
                <w:rFonts w:hint="default" w:ascii="Times New Roman" w:hAnsi="Times New Roman" w:eastAsia="宋体" w:cs="Times New Roman"/>
                <w:color w:val="000000"/>
                <w:sz w:val="21"/>
                <w:szCs w:val="21"/>
                <w:highlight w:val="none"/>
                <w:vertAlign w:val="superscript"/>
              </w:rPr>
              <w:t>-7</w:t>
            </w:r>
            <w:r>
              <w:rPr>
                <w:rFonts w:hint="default" w:ascii="Times New Roman" w:hAnsi="Times New Roman" w:eastAsia="宋体" w:cs="Times New Roman"/>
                <w:color w:val="000000"/>
                <w:sz w:val="21"/>
                <w:szCs w:val="21"/>
                <w:highlight w:val="none"/>
              </w:rPr>
              <w:t>cm/s、厚度1.5m的粘土层的防渗性能</w:t>
            </w:r>
            <w:r>
              <w:rPr>
                <w:rFonts w:hint="eastAsia" w:ascii="Times New Roman" w:hAnsi="Times New Roman" w:eastAsia="宋体" w:cs="Times New Roman"/>
                <w:color w:val="000000"/>
                <w:sz w:val="21"/>
                <w:szCs w:val="21"/>
                <w:highlight w:val="none"/>
                <w:lang w:eastAsia="zh-CN"/>
              </w:rPr>
              <w:t>；</w:t>
            </w:r>
          </w:p>
          <w:p w14:paraId="1172D471">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left"/>
              <w:textAlignment w:val="auto"/>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rPr>
              <w:t>项目区域除绿化用地之外应全部进行硬化处理，实现厂区内不见黄土</w:t>
            </w:r>
            <w:r>
              <w:rPr>
                <w:rFonts w:hint="eastAsia" w:ascii="Times New Roman" w:hAnsi="Times New Roman" w:eastAsia="宋体" w:cs="Times New Roman"/>
                <w:color w:val="000000"/>
                <w:sz w:val="21"/>
                <w:szCs w:val="21"/>
                <w:highlight w:val="none"/>
                <w:lang w:val="en-US" w:eastAsia="zh-CN"/>
              </w:rPr>
              <w:t>；</w:t>
            </w:r>
            <w:r>
              <w:rPr>
                <w:rFonts w:hint="default" w:ascii="Times New Roman" w:hAnsi="Times New Roman" w:eastAsia="宋体" w:cs="Times New Roman"/>
                <w:color w:val="000000"/>
                <w:sz w:val="21"/>
                <w:szCs w:val="21"/>
                <w:highlight w:val="none"/>
                <w:lang w:val="en-US" w:eastAsia="zh-CN"/>
              </w:rPr>
              <w:t>加强厂区防渗、防腐设施的检查、维修力度，确保防渗措施。</w:t>
            </w:r>
          </w:p>
        </w:tc>
        <w:tc>
          <w:tcPr>
            <w:tcW w:w="1439" w:type="dxa"/>
            <w:vAlign w:val="center"/>
          </w:tcPr>
          <w:p w14:paraId="7A40D5FA">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部分一致，未建设化学品库</w:t>
            </w:r>
          </w:p>
        </w:tc>
      </w:tr>
      <w:tr w14:paraId="6AA06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670" w:type="dxa"/>
            <w:vMerge w:val="continue"/>
          </w:tcPr>
          <w:p w14:paraId="6B918B2A">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p>
        </w:tc>
        <w:tc>
          <w:tcPr>
            <w:tcW w:w="1114" w:type="dxa"/>
            <w:shd w:val="clear" w:color="000000" w:fill="auto"/>
            <w:vAlign w:val="center"/>
          </w:tcPr>
          <w:p w14:paraId="2ABA3A9C">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环境风险防范</w:t>
            </w:r>
          </w:p>
        </w:tc>
        <w:tc>
          <w:tcPr>
            <w:tcW w:w="5646" w:type="dxa"/>
            <w:gridSpan w:val="3"/>
            <w:shd w:val="clear" w:color="000000" w:fill="auto"/>
            <w:vAlign w:val="center"/>
          </w:tcPr>
          <w:p w14:paraId="16BB8631">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①设计中严格执行国家、行业有关劳动安全卫生的法规和标准规范。</w:t>
            </w:r>
          </w:p>
          <w:p w14:paraId="3B5ED6C9">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②厂房内设备布置严格执行国家有关防火防爆的规范、规定，按区域分类有关规范在厂房内划分专门的</w:t>
            </w:r>
            <w:r>
              <w:rPr>
                <w:rFonts w:hint="eastAsia" w:ascii="Times New Roman" w:hAnsi="Times New Roman" w:eastAsia="宋体" w:cs="Times New Roman"/>
                <w:color w:val="000000"/>
                <w:sz w:val="21"/>
                <w:szCs w:val="21"/>
                <w:highlight w:val="none"/>
                <w:lang w:val="en-US" w:eastAsia="zh-CN"/>
              </w:rPr>
              <w:t>化学品</w:t>
            </w:r>
            <w:r>
              <w:rPr>
                <w:rFonts w:hint="default" w:ascii="Times New Roman" w:hAnsi="Times New Roman" w:eastAsia="宋体" w:cs="Times New Roman"/>
                <w:color w:val="000000"/>
                <w:sz w:val="21"/>
                <w:szCs w:val="21"/>
                <w:highlight w:val="none"/>
              </w:rPr>
              <w:t>存储区，存储区内安装的电器设备应按照相应的区域等级采用防爆级，所有的电气设备均应接地。远离火种、热源，工作场所严禁吸烟。</w:t>
            </w:r>
          </w:p>
          <w:p w14:paraId="76B9BFD1">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③配备相应品种和数量的消防器材及应急处理设备。厂区制定风险应急措施，一旦发生化学品泄漏时，及时采取措施。</w:t>
            </w:r>
          </w:p>
          <w:p w14:paraId="38DD5424">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④制定危化品库的日常巡查制度，定期指派专人负责巡查。</w:t>
            </w:r>
          </w:p>
          <w:p w14:paraId="3D37F65E">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⑤项目营运期间要加强管理，制定相应的规章制度。营运期严格杜绝润滑油的跑、冒、滴、漏现象的发生，同时要防火、防爆、防雷击，注意安全，杜绝一切不安全因素造成的对周围环境的影响。</w:t>
            </w:r>
          </w:p>
          <w:p w14:paraId="26CA9B52">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⑥发生事故等非正常工况，遇暴雨天气立即启动应急方案，防止厂区内事故废水流入周边河流。采取物理隔离、厂区防渗等措施；加强环境管理，设置巡视人员，及时发现及时处理风险事故。</w:t>
            </w:r>
          </w:p>
          <w:p w14:paraId="457C04CC">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⑦在厂区西南侧</w:t>
            </w:r>
            <w:r>
              <w:rPr>
                <w:rFonts w:hint="default" w:ascii="Times New Roman" w:hAnsi="Times New Roman" w:eastAsia="宋体" w:cs="Times New Roman"/>
                <w:color w:val="auto"/>
                <w:sz w:val="21"/>
                <w:szCs w:val="21"/>
                <w:highlight w:val="none"/>
                <w:lang w:val="en-US" w:eastAsia="zh-CN"/>
              </w:rPr>
              <w:t>建设180m</w:t>
            </w:r>
            <w:r>
              <w:rPr>
                <w:rFonts w:hint="default" w:ascii="Times New Roman" w:hAnsi="Times New Roman" w:eastAsia="宋体" w:cs="Times New Roman"/>
                <w:color w:val="auto"/>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lang w:val="en-US" w:eastAsia="zh-CN"/>
              </w:rPr>
              <w:t>事故应急池，</w:t>
            </w:r>
            <w:r>
              <w:rPr>
                <w:rFonts w:hint="default" w:ascii="Times New Roman" w:hAnsi="Times New Roman" w:eastAsia="宋体" w:cs="Times New Roman"/>
                <w:color w:val="000000"/>
                <w:sz w:val="21"/>
                <w:szCs w:val="21"/>
                <w:highlight w:val="none"/>
                <w:lang w:val="en-US" w:eastAsia="zh-CN"/>
              </w:rPr>
              <w:t>新建厂房外应建设配备完整的雨水管网，完成后防渗等效黏土防渗层Mb≥6.0m，K≤1×10-7cm/s。要求厂区在厂区雨水总排口处设置了截留阀，本项目火灾爆炸事故发生情况下，关闭厂区雨水总排口截留阀，事故产生的消防废水由雨水管网收集，雨水管网通向应急事故水池的阀门打开，事故消防废水流入现有的进事故应急池中暂存，根据上述分析能满足本项目消防废水存储。事故终止后对应急池内废水进行监测，能够达到园区污水处理厂接管标准及《污水综合排放标准》（GB 8978-1996）后罐车转运至园区污水处理厂进行处理，不达标则作为危废由有资质单位进行处理</w:t>
            </w:r>
            <w:r>
              <w:rPr>
                <w:rFonts w:hint="default" w:ascii="Times New Roman" w:hAnsi="Times New Roman" w:eastAsia="宋体" w:cs="Times New Roman"/>
                <w:color w:val="000000"/>
                <w:sz w:val="21"/>
                <w:szCs w:val="21"/>
                <w:highlight w:val="none"/>
                <w:lang w:eastAsia="zh-CN"/>
              </w:rPr>
              <w:t>。</w:t>
            </w:r>
          </w:p>
        </w:tc>
        <w:tc>
          <w:tcPr>
            <w:tcW w:w="5308" w:type="dxa"/>
            <w:gridSpan w:val="3"/>
          </w:tcPr>
          <w:p w14:paraId="6390694B">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①设计中严格执行国家、行业有关劳动安全卫生的法规和标准规范。</w:t>
            </w:r>
          </w:p>
          <w:p w14:paraId="4F61FA4E">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②厂房内设备布置严格执行国家有关防火防爆的规范、规定，按区域分类有关规范在厂房内划分专门的</w:t>
            </w:r>
            <w:r>
              <w:rPr>
                <w:rFonts w:hint="eastAsia" w:ascii="Times New Roman" w:hAnsi="Times New Roman" w:eastAsia="宋体" w:cs="Times New Roman"/>
                <w:color w:val="000000"/>
                <w:sz w:val="21"/>
                <w:szCs w:val="21"/>
                <w:highlight w:val="none"/>
                <w:lang w:val="en-US" w:eastAsia="zh-CN"/>
              </w:rPr>
              <w:t>化学品</w:t>
            </w:r>
            <w:r>
              <w:rPr>
                <w:rFonts w:hint="default" w:ascii="Times New Roman" w:hAnsi="Times New Roman" w:eastAsia="宋体" w:cs="Times New Roman"/>
                <w:color w:val="000000"/>
                <w:sz w:val="21"/>
                <w:szCs w:val="21"/>
                <w:highlight w:val="none"/>
              </w:rPr>
              <w:t>存储区，存储区内安装的电器设备应按照相应的区域等级采用防爆级，所有的电气设备均应接地。远离火种、热源，工作场所严禁吸烟。</w:t>
            </w:r>
          </w:p>
          <w:p w14:paraId="36A70527">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③配备相应品种和数量的消防器材及应急处理设备。厂区制定风险应急措施，一旦发生化学品泄漏时，及时采取措施。</w:t>
            </w:r>
          </w:p>
          <w:p w14:paraId="43E70F68">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④制定危化品库的日常巡查制度，定期指派专人负责巡查。</w:t>
            </w:r>
          </w:p>
          <w:p w14:paraId="2DCAD892">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⑤项目营运期间要加强管理，制定相应的规章制度。营运期严格杜绝润滑油的跑、冒、滴、漏现象的发生，同时要防火、防爆、防雷击，注意安全，杜绝一切不安全因素造成的对周围环境的影响。</w:t>
            </w:r>
          </w:p>
          <w:p w14:paraId="3BA6DB57">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⑥发生事故等非正常工况，遇暴雨天气立即启动应急方案，防止厂区内事故废水流入周边河流。采取物理隔离、厂区防渗等措施；加强环境管理，设置巡视人员，及时发现及时处理风险事故。</w:t>
            </w:r>
          </w:p>
          <w:p w14:paraId="7A934985">
            <w:pPr>
              <w:pStyle w:val="53"/>
              <w:keepNext w:val="0"/>
              <w:keepLines w:val="0"/>
              <w:pageBreakBefore w:val="0"/>
              <w:widowControl w:val="0"/>
              <w:kinsoku/>
              <w:wordWrap/>
              <w:overflowPunct/>
              <w:topLinePunct w:val="0"/>
              <w:autoSpaceDE/>
              <w:autoSpaceDN/>
              <w:bidi w:val="0"/>
              <w:snapToGrid w:val="0"/>
              <w:spacing w:line="360" w:lineRule="exact"/>
              <w:ind w:firstLineChars="0"/>
              <w:jc w:val="left"/>
              <w:textAlignment w:val="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⑦在厂区西侧建设</w:t>
            </w:r>
            <w:r>
              <w:rPr>
                <w:rFonts w:hint="eastAsia" w:ascii="Times New Roman" w:hAnsi="Times New Roman" w:cs="Times New Roman"/>
                <w:color w:val="000000"/>
                <w:sz w:val="21"/>
                <w:szCs w:val="21"/>
                <w:highlight w:val="none"/>
                <w:lang w:val="en-US" w:eastAsia="zh-CN"/>
              </w:rPr>
              <w:t>2个</w:t>
            </w:r>
            <w:r>
              <w:rPr>
                <w:rFonts w:hint="default" w:ascii="Times New Roman" w:hAnsi="Times New Roman" w:eastAsia="宋体" w:cs="Times New Roman"/>
                <w:color w:val="000000"/>
                <w:sz w:val="21"/>
                <w:szCs w:val="21"/>
                <w:highlight w:val="none"/>
                <w:lang w:val="en-US" w:eastAsia="zh-CN"/>
              </w:rPr>
              <w:t>事故</w:t>
            </w:r>
            <w:r>
              <w:rPr>
                <w:rFonts w:hint="eastAsia" w:ascii="Times New Roman" w:hAnsi="Times New Roman" w:eastAsia="宋体" w:cs="Times New Roman"/>
                <w:color w:val="000000"/>
                <w:sz w:val="21"/>
                <w:szCs w:val="21"/>
                <w:highlight w:val="none"/>
                <w:lang w:val="en-US" w:eastAsia="zh-CN"/>
              </w:rPr>
              <w:t>收集桶</w:t>
            </w:r>
            <w:r>
              <w:rPr>
                <w:rFonts w:hint="eastAsia" w:ascii="Times New Roman" w:hAnsi="Times New Roman" w:cs="Times New Roman"/>
                <w:color w:val="000000"/>
                <w:sz w:val="21"/>
                <w:szCs w:val="21"/>
                <w:highlight w:val="none"/>
                <w:lang w:val="en-US" w:eastAsia="zh-CN"/>
              </w:rPr>
              <w:t>,总容量40m</w:t>
            </w:r>
            <w:r>
              <w:rPr>
                <w:rFonts w:hint="eastAsia" w:ascii="Times New Roman" w:hAnsi="Times New Roman" w:cs="Times New Roman"/>
                <w:color w:val="000000"/>
                <w:sz w:val="21"/>
                <w:szCs w:val="21"/>
                <w:highlight w:val="none"/>
                <w:vertAlign w:val="superscript"/>
                <w:lang w:val="en-US" w:eastAsia="zh-CN"/>
              </w:rPr>
              <w:t>3</w:t>
            </w:r>
            <w:r>
              <w:rPr>
                <w:rFonts w:hint="default" w:ascii="Times New Roman" w:hAnsi="Times New Roman" w:eastAsia="宋体" w:cs="Times New Roman"/>
                <w:color w:val="000000"/>
                <w:sz w:val="21"/>
                <w:szCs w:val="21"/>
                <w:highlight w:val="none"/>
                <w:lang w:val="en-US" w:eastAsia="zh-CN"/>
              </w:rPr>
              <w:t>，</w:t>
            </w:r>
            <w:r>
              <w:rPr>
                <w:rFonts w:hint="default" w:ascii="Times New Roman" w:hAnsi="Times New Roman" w:eastAsia="宋体" w:cs="Times New Roman"/>
                <w:color w:val="000000"/>
                <w:sz w:val="21"/>
                <w:szCs w:val="21"/>
                <w:highlight w:val="none"/>
                <w:lang w:val="en-US" w:eastAsia="zh-CN"/>
              </w:rPr>
              <w:t>新建厂房外应建设配备完整的雨水管网，完成后防渗等效黏土防渗层Mb≥6.0m，K≤1×10</w:t>
            </w:r>
            <w:r>
              <w:rPr>
                <w:rFonts w:hint="default" w:ascii="Times New Roman" w:hAnsi="Times New Roman" w:eastAsia="宋体" w:cs="Times New Roman"/>
                <w:color w:val="000000"/>
                <w:sz w:val="21"/>
                <w:szCs w:val="21"/>
                <w:highlight w:val="none"/>
                <w:vertAlign w:val="superscript"/>
                <w:lang w:val="en-US" w:eastAsia="zh-CN"/>
              </w:rPr>
              <w:t>-7</w:t>
            </w:r>
            <w:r>
              <w:rPr>
                <w:rFonts w:hint="default" w:ascii="Times New Roman" w:hAnsi="Times New Roman" w:eastAsia="宋体" w:cs="Times New Roman"/>
                <w:color w:val="000000"/>
                <w:sz w:val="21"/>
                <w:szCs w:val="21"/>
                <w:highlight w:val="none"/>
                <w:lang w:val="en-US" w:eastAsia="zh-CN"/>
              </w:rPr>
              <w:t>cm/s。要求厂区在厂区雨水总排口处设置了截留阀，本项目火灾爆炸事故发生情况下，关闭厂区雨水总排口截留阀，事故产生的消防废水由雨水管网收集，雨水管网通向应急事故水池的阀门打开，事故消防废水流入现有的进事故应急池中暂存，根据上述分析能满足本项目消防废水存储。事故终止后对应急池内废水进行监测，能够达到园区污水处理厂接管标准及《污水综合排放标准》（GB 8978-1996）后罐车转运至园区污水处理厂进行处理，不达标则作为危废由有资质单位进行处理</w:t>
            </w:r>
            <w:r>
              <w:rPr>
                <w:rFonts w:hint="default" w:ascii="Times New Roman" w:hAnsi="Times New Roman" w:eastAsia="宋体" w:cs="Times New Roman"/>
                <w:color w:val="000000"/>
                <w:sz w:val="21"/>
                <w:szCs w:val="21"/>
                <w:highlight w:val="none"/>
                <w:lang w:eastAsia="zh-CN"/>
              </w:rPr>
              <w:t>。</w:t>
            </w:r>
          </w:p>
        </w:tc>
        <w:tc>
          <w:tcPr>
            <w:tcW w:w="1439" w:type="dxa"/>
            <w:vAlign w:val="center"/>
          </w:tcPr>
          <w:p w14:paraId="581ACFC4">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部分一致，</w:t>
            </w:r>
            <w:r>
              <w:rPr>
                <w:rFonts w:hint="eastAsia" w:ascii="Times New Roman" w:hAnsi="Times New Roman" w:cs="Times New Roman"/>
                <w:color w:val="000000"/>
                <w:sz w:val="21"/>
                <w:szCs w:val="21"/>
                <w:highlight w:val="none"/>
                <w:lang w:val="en-US" w:eastAsia="zh-CN"/>
              </w:rPr>
              <w:t>由于化学品库未建设，</w:t>
            </w:r>
            <w:r>
              <w:rPr>
                <w:rFonts w:hint="eastAsia" w:ascii="Times New Roman" w:hAnsi="Times New Roman" w:eastAsia="宋体" w:cs="Times New Roman"/>
                <w:color w:val="000000"/>
                <w:sz w:val="21"/>
                <w:szCs w:val="21"/>
                <w:highlight w:val="none"/>
                <w:lang w:val="en-US" w:eastAsia="zh-CN"/>
              </w:rPr>
              <w:t>事故废水收集调整为</w:t>
            </w:r>
            <w:r>
              <w:rPr>
                <w:rFonts w:hint="eastAsia" w:ascii="Times New Roman" w:hAnsi="Times New Roman" w:cs="Times New Roman"/>
                <w:color w:val="000000"/>
                <w:sz w:val="21"/>
                <w:szCs w:val="21"/>
                <w:highlight w:val="none"/>
                <w:lang w:val="en-US" w:eastAsia="zh-CN"/>
              </w:rPr>
              <w:t>2个20</w:t>
            </w:r>
            <w:r>
              <w:rPr>
                <w:rFonts w:hint="default" w:ascii="Times New Roman" w:hAnsi="Times New Roman" w:eastAsia="宋体" w:cs="Times New Roman"/>
                <w:color w:val="000000"/>
                <w:sz w:val="21"/>
                <w:szCs w:val="21"/>
                <w:highlight w:val="none"/>
                <w:lang w:val="en-US" w:eastAsia="zh-CN"/>
              </w:rPr>
              <w:t>m</w:t>
            </w:r>
            <w:r>
              <w:rPr>
                <w:rFonts w:hint="default" w:ascii="Times New Roman" w:hAnsi="Times New Roman" w:eastAsia="宋体" w:cs="Times New Roman"/>
                <w:color w:val="000000"/>
                <w:sz w:val="21"/>
                <w:szCs w:val="21"/>
                <w:highlight w:val="none"/>
                <w:vertAlign w:val="superscript"/>
                <w:lang w:val="en-US" w:eastAsia="zh-CN"/>
              </w:rPr>
              <w:t>3</w:t>
            </w:r>
            <w:r>
              <w:rPr>
                <w:rFonts w:hint="default" w:ascii="Times New Roman" w:hAnsi="Times New Roman" w:eastAsia="宋体" w:cs="Times New Roman"/>
                <w:color w:val="000000"/>
                <w:sz w:val="21"/>
                <w:szCs w:val="21"/>
                <w:highlight w:val="none"/>
                <w:lang w:val="en-US" w:eastAsia="zh-CN"/>
              </w:rPr>
              <w:t>事故</w:t>
            </w:r>
            <w:r>
              <w:rPr>
                <w:rFonts w:hint="eastAsia" w:ascii="Times New Roman" w:hAnsi="Times New Roman" w:eastAsia="宋体" w:cs="Times New Roman"/>
                <w:color w:val="000000"/>
                <w:sz w:val="21"/>
                <w:szCs w:val="21"/>
                <w:highlight w:val="none"/>
                <w:lang w:val="en-US" w:eastAsia="zh-CN"/>
              </w:rPr>
              <w:t>收集桶</w:t>
            </w:r>
            <w:r>
              <w:rPr>
                <w:rFonts w:hint="eastAsia" w:ascii="Times New Roman" w:hAnsi="Times New Roman" w:cs="Times New Roman"/>
                <w:color w:val="000000"/>
                <w:sz w:val="21"/>
                <w:szCs w:val="21"/>
                <w:highlight w:val="none"/>
                <w:lang w:val="en-US" w:eastAsia="zh-CN"/>
              </w:rPr>
              <w:t>。</w:t>
            </w:r>
          </w:p>
        </w:tc>
      </w:tr>
    </w:tbl>
    <w:p w14:paraId="29500BF3">
      <w:pPr>
        <w:pStyle w:val="53"/>
        <w:keepNext w:val="0"/>
        <w:keepLines w:val="0"/>
        <w:pageBreakBefore w:val="0"/>
        <w:widowControl w:val="0"/>
        <w:kinsoku/>
        <w:wordWrap/>
        <w:overflowPunct/>
        <w:topLinePunct w:val="0"/>
        <w:autoSpaceDE/>
        <w:autoSpaceDN/>
        <w:bidi w:val="0"/>
        <w:snapToGrid w:val="0"/>
        <w:spacing w:line="360" w:lineRule="exact"/>
        <w:ind w:firstLineChars="0"/>
        <w:jc w:val="center"/>
        <w:textAlignment w:val="auto"/>
        <w:rPr>
          <w:rFonts w:hint="eastAsia" w:ascii="Times New Roman" w:hAnsi="Times New Roman" w:eastAsia="宋体" w:cs="Times New Roman"/>
          <w:color w:val="000000"/>
          <w:sz w:val="21"/>
          <w:szCs w:val="21"/>
          <w:highlight w:val="none"/>
        </w:rPr>
        <w:sectPr>
          <w:pgSz w:w="16838" w:h="11906" w:orient="landscape"/>
          <w:pgMar w:top="1797" w:right="1440" w:bottom="1797" w:left="1440" w:header="851" w:footer="992" w:gutter="0"/>
          <w:pgBorders>
            <w:top w:val="none" w:sz="0" w:space="0"/>
            <w:left w:val="none" w:sz="0" w:space="0"/>
            <w:bottom w:val="none" w:sz="0" w:space="0"/>
            <w:right w:val="none" w:sz="0" w:space="0"/>
          </w:pgBorders>
          <w:cols w:space="425" w:num="1"/>
          <w:docGrid w:type="lines" w:linePitch="312" w:charSpace="0"/>
        </w:sectPr>
      </w:pPr>
    </w:p>
    <w:p w14:paraId="3DBEE977">
      <w:pPr>
        <w:pStyle w:val="6"/>
        <w:keepNext w:val="0"/>
        <w:keepLines w:val="0"/>
        <w:pageBreakBefore w:val="0"/>
        <w:widowControl w:val="0"/>
        <w:kinsoku/>
        <w:wordWrap/>
        <w:overflowPunct/>
        <w:topLinePunct w:val="0"/>
        <w:autoSpaceDE/>
        <w:autoSpaceDN/>
        <w:bidi w:val="0"/>
        <w:adjustRightInd/>
        <w:snapToGrid/>
        <w:spacing w:before="0" w:after="0" w:line="480" w:lineRule="exact"/>
        <w:ind w:right="0" w:rightChars="0"/>
        <w:textAlignment w:val="auto"/>
        <w:rPr>
          <w:rFonts w:hint="eastAsia"/>
          <w:highlight w:val="none"/>
          <w:lang w:val="en-US" w:eastAsia="zh-CN"/>
        </w:rPr>
      </w:pPr>
      <w:r>
        <w:rPr>
          <w:rFonts w:hint="eastAsia"/>
          <w:highlight w:val="none"/>
        </w:rPr>
        <w:t>3.2.</w:t>
      </w:r>
      <w:r>
        <w:rPr>
          <w:rFonts w:hint="eastAsia"/>
          <w:highlight w:val="none"/>
          <w:lang w:val="en-US" w:eastAsia="zh-CN"/>
        </w:rPr>
        <w:t>5</w:t>
      </w:r>
      <w:r>
        <w:rPr>
          <w:rFonts w:hint="eastAsia"/>
          <w:highlight w:val="none"/>
        </w:rPr>
        <w:t>生产设</w:t>
      </w:r>
      <w:r>
        <w:rPr>
          <w:rFonts w:hint="eastAsia"/>
          <w:highlight w:val="none"/>
          <w:lang w:val="en-US" w:eastAsia="zh-CN"/>
        </w:rPr>
        <w:t>施</w:t>
      </w:r>
    </w:p>
    <w:p w14:paraId="7AAFC7C8">
      <w:pPr>
        <w:keepNext w:val="0"/>
        <w:keepLines w:val="0"/>
        <w:pageBreakBefore w:val="0"/>
        <w:widowControl w:val="0"/>
        <w:kinsoku/>
        <w:wordWrap/>
        <w:overflowPunct/>
        <w:topLinePunct w:val="0"/>
        <w:autoSpaceDE/>
        <w:autoSpaceDN/>
        <w:bidi w:val="0"/>
        <w:adjustRightInd/>
        <w:snapToGrid/>
        <w:spacing w:line="480" w:lineRule="exact"/>
        <w:ind w:right="0" w:rightChars="0" w:firstLine="480" w:firstLineChars="200"/>
        <w:textAlignment w:val="auto"/>
        <w:rPr>
          <w:rFonts w:hint="eastAsia" w:ascii="Times New Roman" w:hAnsi="Times New Roman" w:eastAsiaTheme="minorEastAsia"/>
          <w:color w:val="auto"/>
          <w:sz w:val="24"/>
          <w:szCs w:val="24"/>
          <w:highlight w:val="none"/>
        </w:rPr>
      </w:pPr>
      <w:r>
        <w:rPr>
          <w:rFonts w:hint="eastAsia" w:ascii="Times New Roman" w:hAnsi="Times New Roman" w:cs="Times New Roman" w:eastAsiaTheme="minorEastAsia"/>
          <w:color w:val="auto"/>
          <w:sz w:val="24"/>
          <w:szCs w:val="24"/>
          <w:highlight w:val="none"/>
        </w:rPr>
        <w:t>项目</w:t>
      </w:r>
      <w:r>
        <w:rPr>
          <w:rFonts w:hint="eastAsia" w:ascii="Times New Roman" w:hAnsi="Times New Roman" w:eastAsiaTheme="minorEastAsia"/>
          <w:color w:val="auto"/>
          <w:sz w:val="24"/>
          <w:szCs w:val="24"/>
          <w:highlight w:val="none"/>
        </w:rPr>
        <w:t>主要建（构）筑物见表3-</w:t>
      </w:r>
      <w:r>
        <w:rPr>
          <w:rFonts w:hint="eastAsia" w:ascii="Times New Roman" w:hAnsi="Times New Roman" w:eastAsiaTheme="minorEastAsia"/>
          <w:color w:val="auto"/>
          <w:sz w:val="24"/>
          <w:szCs w:val="24"/>
          <w:highlight w:val="none"/>
          <w:lang w:val="en-US" w:eastAsia="zh-CN"/>
        </w:rPr>
        <w:t>2</w:t>
      </w:r>
      <w:r>
        <w:rPr>
          <w:rFonts w:hint="eastAsia" w:ascii="Times New Roman" w:hAnsi="Times New Roman" w:eastAsiaTheme="minorEastAsia"/>
          <w:color w:val="auto"/>
          <w:sz w:val="24"/>
          <w:szCs w:val="24"/>
          <w:highlight w:val="none"/>
        </w:rPr>
        <w:t>。</w:t>
      </w:r>
    </w:p>
    <w:p w14:paraId="26F832B9">
      <w:pPr>
        <w:pStyle w:val="15"/>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0" w:firstLineChars="0"/>
        <w:jc w:val="center"/>
        <w:textAlignment w:val="auto"/>
        <w:rPr>
          <w:rFonts w:hint="eastAsia" w:ascii="宋体" w:hAnsi="宋体" w:eastAsia="宋体" w:cs="宋体"/>
          <w:b/>
          <w:color w:val="auto"/>
          <w:sz w:val="24"/>
          <w:szCs w:val="24"/>
          <w:highlight w:val="none"/>
        </w:rPr>
      </w:pPr>
      <w:r>
        <w:rPr>
          <w:rFonts w:hint="eastAsia" w:ascii="Times New Roman" w:hAnsi="Times New Roman" w:eastAsiaTheme="minorEastAsia"/>
          <w:b/>
          <w:color w:val="auto"/>
          <w:sz w:val="24"/>
          <w:szCs w:val="24"/>
          <w:highlight w:val="none"/>
        </w:rPr>
        <w:t>表3-</w:t>
      </w:r>
      <w:r>
        <w:rPr>
          <w:rFonts w:hint="eastAsia" w:ascii="Times New Roman" w:hAnsi="Times New Roman" w:eastAsiaTheme="minorEastAsia"/>
          <w:b/>
          <w:color w:val="auto"/>
          <w:sz w:val="24"/>
          <w:szCs w:val="24"/>
          <w:highlight w:val="none"/>
          <w:lang w:val="en-US" w:eastAsia="zh-CN"/>
        </w:rPr>
        <w:t>2</w:t>
      </w:r>
      <w:r>
        <w:rPr>
          <w:rFonts w:hint="eastAsia" w:ascii="宋体" w:hAnsi="宋体" w:eastAsia="宋体" w:cs="宋体"/>
          <w:b/>
          <w:color w:val="auto"/>
          <w:sz w:val="24"/>
          <w:szCs w:val="24"/>
          <w:highlight w:val="none"/>
        </w:rPr>
        <w:t>项目主要建（构）筑一览表</w:t>
      </w:r>
    </w:p>
    <w:tbl>
      <w:tblPr>
        <w:tblStyle w:val="32"/>
        <w:tblW w:w="53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2186"/>
        <w:gridCol w:w="959"/>
        <w:gridCol w:w="959"/>
        <w:gridCol w:w="1120"/>
        <w:gridCol w:w="1272"/>
        <w:gridCol w:w="565"/>
        <w:gridCol w:w="1105"/>
      </w:tblGrid>
      <w:tr w14:paraId="0BDEC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6" w:type="pct"/>
            <w:shd w:val="clear" w:color="auto" w:fill="auto"/>
            <w:tcMar>
              <w:left w:w="0" w:type="dxa"/>
              <w:right w:w="0" w:type="dxa"/>
            </w:tcMar>
            <w:vAlign w:val="center"/>
          </w:tcPr>
          <w:p w14:paraId="1CC840C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t>序号</w:t>
            </w:r>
          </w:p>
        </w:tc>
        <w:tc>
          <w:tcPr>
            <w:tcW w:w="1221" w:type="pct"/>
            <w:shd w:val="clear" w:color="auto" w:fill="auto"/>
            <w:tcMar>
              <w:left w:w="0" w:type="dxa"/>
              <w:right w:w="0" w:type="dxa"/>
            </w:tcMar>
            <w:vAlign w:val="center"/>
          </w:tcPr>
          <w:p w14:paraId="31BCCB9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t>名称</w:t>
            </w:r>
          </w:p>
        </w:tc>
        <w:tc>
          <w:tcPr>
            <w:tcW w:w="535" w:type="pct"/>
            <w:shd w:val="clear" w:color="auto" w:fill="auto"/>
            <w:tcMar>
              <w:left w:w="0" w:type="dxa"/>
              <w:right w:w="0" w:type="dxa"/>
            </w:tcMar>
            <w:vAlign w:val="center"/>
          </w:tcPr>
          <w:p w14:paraId="2B8FFF9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t>占地面积（m</w:t>
            </w:r>
            <w:r>
              <w:rPr>
                <w:rFonts w:hint="default" w:ascii="Times New Roman" w:hAnsi="Times New Roman" w:eastAsia="宋体" w:cs="Times New Roman"/>
                <w:bCs/>
                <w:snapToGrid w:val="0"/>
                <w:color w:val="000000" w:themeColor="text1"/>
                <w:kern w:val="0"/>
                <w:sz w:val="21"/>
                <w:szCs w:val="21"/>
                <w:highlight w:val="none"/>
                <w:vertAlign w:val="superscript"/>
                <w14:textFill>
                  <w14:solidFill>
                    <w14:schemeClr w14:val="tx1"/>
                  </w14:solidFill>
                </w14:textFill>
              </w:rPr>
              <w:t>2</w:t>
            </w:r>
            <w:r>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t>）</w:t>
            </w:r>
          </w:p>
        </w:tc>
        <w:tc>
          <w:tcPr>
            <w:tcW w:w="535" w:type="pct"/>
            <w:shd w:val="clear" w:color="auto" w:fill="auto"/>
            <w:tcMar>
              <w:left w:w="0" w:type="dxa"/>
              <w:right w:w="0" w:type="dxa"/>
            </w:tcMar>
            <w:vAlign w:val="center"/>
          </w:tcPr>
          <w:p w14:paraId="7F4E3AD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t>建筑面积（m</w:t>
            </w:r>
            <w:r>
              <w:rPr>
                <w:rFonts w:hint="default" w:ascii="Times New Roman" w:hAnsi="Times New Roman" w:eastAsia="宋体" w:cs="Times New Roman"/>
                <w:bCs/>
                <w:snapToGrid w:val="0"/>
                <w:color w:val="000000" w:themeColor="text1"/>
                <w:kern w:val="0"/>
                <w:sz w:val="21"/>
                <w:szCs w:val="21"/>
                <w:highlight w:val="none"/>
                <w:vertAlign w:val="superscript"/>
                <w14:textFill>
                  <w14:solidFill>
                    <w14:schemeClr w14:val="tx1"/>
                  </w14:solidFill>
                </w14:textFill>
              </w:rPr>
              <w:t>2</w:t>
            </w:r>
            <w:r>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t>）</w:t>
            </w:r>
          </w:p>
        </w:tc>
        <w:tc>
          <w:tcPr>
            <w:tcW w:w="625" w:type="pct"/>
            <w:shd w:val="clear" w:color="auto" w:fill="auto"/>
            <w:tcMar>
              <w:left w:w="0" w:type="dxa"/>
              <w:right w:w="0" w:type="dxa"/>
            </w:tcMar>
            <w:vAlign w:val="center"/>
          </w:tcPr>
          <w:p w14:paraId="5602C38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t>尺寸（</w:t>
            </w: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m</w:t>
            </w:r>
            <w:r>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t>）</w:t>
            </w:r>
          </w:p>
        </w:tc>
        <w:tc>
          <w:tcPr>
            <w:tcW w:w="710" w:type="pct"/>
            <w:shd w:val="clear" w:color="auto" w:fill="auto"/>
            <w:vAlign w:val="center"/>
          </w:tcPr>
          <w:p w14:paraId="5E4867C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t>围护结构</w:t>
            </w:r>
          </w:p>
        </w:tc>
        <w:tc>
          <w:tcPr>
            <w:tcW w:w="315" w:type="pct"/>
            <w:shd w:val="clear" w:color="auto" w:fill="auto"/>
            <w:vAlign w:val="center"/>
          </w:tcPr>
          <w:p w14:paraId="2183533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t>备注</w:t>
            </w:r>
          </w:p>
        </w:tc>
        <w:tc>
          <w:tcPr>
            <w:tcW w:w="617" w:type="pct"/>
            <w:shd w:val="clear" w:color="auto" w:fill="auto"/>
            <w:vAlign w:val="center"/>
          </w:tcPr>
          <w:p w14:paraId="7DDCA7A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一致性</w:t>
            </w:r>
          </w:p>
        </w:tc>
      </w:tr>
      <w:tr w14:paraId="028EC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6" w:type="pct"/>
            <w:shd w:val="clear" w:color="auto" w:fill="auto"/>
            <w:tcMar>
              <w:left w:w="0" w:type="dxa"/>
              <w:right w:w="0" w:type="dxa"/>
            </w:tcMar>
            <w:vAlign w:val="center"/>
          </w:tcPr>
          <w:p w14:paraId="29AE3A5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t>1</w:t>
            </w:r>
          </w:p>
        </w:tc>
        <w:tc>
          <w:tcPr>
            <w:tcW w:w="1221" w:type="pct"/>
            <w:shd w:val="clear" w:color="auto" w:fill="auto"/>
            <w:tcMar>
              <w:left w:w="0" w:type="dxa"/>
              <w:right w:w="0" w:type="dxa"/>
            </w:tcMar>
            <w:vAlign w:val="center"/>
          </w:tcPr>
          <w:p w14:paraId="1A8970B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t>1#生产车间</w:t>
            </w:r>
          </w:p>
        </w:tc>
        <w:tc>
          <w:tcPr>
            <w:tcW w:w="535" w:type="pct"/>
            <w:shd w:val="clear" w:color="auto" w:fill="auto"/>
            <w:tcMar>
              <w:left w:w="0" w:type="dxa"/>
              <w:right w:w="0" w:type="dxa"/>
            </w:tcMar>
            <w:vAlign w:val="center"/>
          </w:tcPr>
          <w:p w14:paraId="61BD48C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630</w:t>
            </w:r>
          </w:p>
        </w:tc>
        <w:tc>
          <w:tcPr>
            <w:tcW w:w="535" w:type="pct"/>
            <w:shd w:val="clear" w:color="auto" w:fill="auto"/>
            <w:tcMar>
              <w:left w:w="0" w:type="dxa"/>
              <w:right w:w="0" w:type="dxa"/>
            </w:tcMar>
            <w:vAlign w:val="center"/>
          </w:tcPr>
          <w:p w14:paraId="0C4A6C1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630</w:t>
            </w:r>
          </w:p>
        </w:tc>
        <w:tc>
          <w:tcPr>
            <w:tcW w:w="625" w:type="pct"/>
            <w:shd w:val="clear" w:color="auto" w:fill="auto"/>
            <w:tcMar>
              <w:left w:w="0" w:type="dxa"/>
              <w:right w:w="0" w:type="dxa"/>
            </w:tcMar>
            <w:vAlign w:val="center"/>
          </w:tcPr>
          <w:p w14:paraId="452159E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eastAsia="zh-CN"/>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48.5×13×4</w:t>
            </w:r>
          </w:p>
        </w:tc>
        <w:tc>
          <w:tcPr>
            <w:tcW w:w="710" w:type="pct"/>
            <w:vMerge w:val="restart"/>
            <w:shd w:val="clear" w:color="auto" w:fill="auto"/>
            <w:vAlign w:val="center"/>
          </w:tcPr>
          <w:p w14:paraId="69B3D8D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砖混结构</w:t>
            </w:r>
          </w:p>
        </w:tc>
        <w:tc>
          <w:tcPr>
            <w:tcW w:w="315" w:type="pct"/>
            <w:vMerge w:val="restart"/>
            <w:shd w:val="clear" w:color="auto" w:fill="auto"/>
            <w:vAlign w:val="center"/>
          </w:tcPr>
          <w:p w14:paraId="38ED087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依托租赁场区现有</w:t>
            </w:r>
            <w:r>
              <w:rPr>
                <w:rFonts w:hint="default" w:ascii="Times New Roman" w:hAnsi="Times New Roman" w:eastAsia="宋体" w:cs="Times New Roman"/>
                <w:color w:val="000000" w:themeColor="text1"/>
                <w:sz w:val="21"/>
                <w:szCs w:val="21"/>
                <w:highlight w:val="none"/>
                <w14:textFill>
                  <w14:solidFill>
                    <w14:schemeClr w14:val="tx1"/>
                  </w14:solidFill>
                </w14:textFill>
              </w:rPr>
              <w:t>车间</w:t>
            </w:r>
          </w:p>
        </w:tc>
        <w:tc>
          <w:tcPr>
            <w:tcW w:w="617" w:type="pct"/>
            <w:shd w:val="clear" w:color="auto" w:fill="auto"/>
            <w:vAlign w:val="center"/>
          </w:tcPr>
          <w:p w14:paraId="313990A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一致</w:t>
            </w:r>
          </w:p>
        </w:tc>
      </w:tr>
      <w:tr w14:paraId="67257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436" w:type="pct"/>
            <w:shd w:val="clear" w:color="auto" w:fill="auto"/>
            <w:tcMar>
              <w:left w:w="0" w:type="dxa"/>
              <w:right w:w="0" w:type="dxa"/>
            </w:tcMar>
            <w:vAlign w:val="center"/>
          </w:tcPr>
          <w:p w14:paraId="0285C9E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t>2</w:t>
            </w:r>
          </w:p>
        </w:tc>
        <w:tc>
          <w:tcPr>
            <w:tcW w:w="1221" w:type="pct"/>
            <w:shd w:val="clear" w:color="auto" w:fill="auto"/>
            <w:tcMar>
              <w:left w:w="0" w:type="dxa"/>
              <w:right w:w="0" w:type="dxa"/>
            </w:tcMar>
            <w:vAlign w:val="center"/>
          </w:tcPr>
          <w:p w14:paraId="5AB8F9CD">
            <w:pPr>
              <w:topLinePunct/>
              <w:adjustRightInd w:val="0"/>
              <w:snapToGrid w:val="0"/>
              <w:jc w:val="center"/>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组装车间</w:t>
            </w:r>
          </w:p>
        </w:tc>
        <w:tc>
          <w:tcPr>
            <w:tcW w:w="535" w:type="pct"/>
            <w:shd w:val="clear" w:color="auto" w:fill="auto"/>
            <w:tcMar>
              <w:left w:w="0" w:type="dxa"/>
              <w:right w:w="0" w:type="dxa"/>
            </w:tcMar>
            <w:vAlign w:val="center"/>
          </w:tcPr>
          <w:p w14:paraId="5654BDF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198</w:t>
            </w:r>
          </w:p>
        </w:tc>
        <w:tc>
          <w:tcPr>
            <w:tcW w:w="535" w:type="pct"/>
            <w:shd w:val="clear" w:color="auto" w:fill="auto"/>
            <w:tcMar>
              <w:left w:w="0" w:type="dxa"/>
              <w:right w:w="0" w:type="dxa"/>
            </w:tcMar>
            <w:vAlign w:val="center"/>
          </w:tcPr>
          <w:p w14:paraId="77DBCB4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198</w:t>
            </w:r>
          </w:p>
        </w:tc>
        <w:tc>
          <w:tcPr>
            <w:tcW w:w="625" w:type="pct"/>
            <w:shd w:val="clear" w:color="auto" w:fill="auto"/>
            <w:tcMar>
              <w:left w:w="0" w:type="dxa"/>
              <w:right w:w="0" w:type="dxa"/>
            </w:tcMar>
            <w:vAlign w:val="center"/>
          </w:tcPr>
          <w:p w14:paraId="5A1B244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33×6×4</w:t>
            </w:r>
          </w:p>
        </w:tc>
        <w:tc>
          <w:tcPr>
            <w:tcW w:w="710" w:type="pct"/>
            <w:vMerge w:val="continue"/>
            <w:shd w:val="clear" w:color="auto" w:fill="auto"/>
            <w:vAlign w:val="center"/>
          </w:tcPr>
          <w:p w14:paraId="1366D0B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315" w:type="pct"/>
            <w:vMerge w:val="continue"/>
            <w:shd w:val="clear" w:color="auto" w:fill="auto"/>
            <w:vAlign w:val="center"/>
          </w:tcPr>
          <w:p w14:paraId="49425E6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p>
        </w:tc>
        <w:tc>
          <w:tcPr>
            <w:tcW w:w="617" w:type="pct"/>
            <w:shd w:val="clear" w:color="auto" w:fill="auto"/>
            <w:vAlign w:val="center"/>
          </w:tcPr>
          <w:p w14:paraId="3F3622C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一致</w:t>
            </w:r>
          </w:p>
        </w:tc>
      </w:tr>
      <w:tr w14:paraId="67C7F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436" w:type="pct"/>
            <w:shd w:val="clear" w:color="auto" w:fill="auto"/>
            <w:tcMar>
              <w:left w:w="0" w:type="dxa"/>
              <w:right w:w="0" w:type="dxa"/>
            </w:tcMar>
            <w:vAlign w:val="center"/>
          </w:tcPr>
          <w:p w14:paraId="6006C5F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3</w:t>
            </w:r>
          </w:p>
        </w:tc>
        <w:tc>
          <w:tcPr>
            <w:tcW w:w="1221" w:type="pct"/>
            <w:shd w:val="clear" w:color="auto" w:fill="auto"/>
            <w:tcMar>
              <w:left w:w="0" w:type="dxa"/>
              <w:right w:w="0" w:type="dxa"/>
            </w:tcMar>
            <w:vAlign w:val="center"/>
          </w:tcPr>
          <w:p w14:paraId="5E9851BE">
            <w:pPr>
              <w:topLinePunct/>
              <w:adjustRightInd w:val="0"/>
              <w:snapToGrid w:val="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成品库</w:t>
            </w:r>
          </w:p>
        </w:tc>
        <w:tc>
          <w:tcPr>
            <w:tcW w:w="535" w:type="pct"/>
            <w:shd w:val="clear" w:color="auto" w:fill="auto"/>
            <w:tcMar>
              <w:left w:w="0" w:type="dxa"/>
              <w:right w:w="0" w:type="dxa"/>
            </w:tcMar>
            <w:vAlign w:val="center"/>
          </w:tcPr>
          <w:p w14:paraId="1312A68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66</w:t>
            </w:r>
          </w:p>
        </w:tc>
        <w:tc>
          <w:tcPr>
            <w:tcW w:w="535" w:type="pct"/>
            <w:shd w:val="clear" w:color="auto" w:fill="auto"/>
            <w:tcMar>
              <w:left w:w="0" w:type="dxa"/>
              <w:right w:w="0" w:type="dxa"/>
            </w:tcMar>
            <w:vAlign w:val="center"/>
          </w:tcPr>
          <w:p w14:paraId="5F96533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66</w:t>
            </w:r>
          </w:p>
        </w:tc>
        <w:tc>
          <w:tcPr>
            <w:tcW w:w="625" w:type="pct"/>
            <w:shd w:val="clear" w:color="auto" w:fill="auto"/>
            <w:tcMar>
              <w:left w:w="0" w:type="dxa"/>
              <w:right w:w="0" w:type="dxa"/>
            </w:tcMar>
            <w:vAlign w:val="center"/>
          </w:tcPr>
          <w:p w14:paraId="0CA5D32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11×6×4</w:t>
            </w:r>
          </w:p>
        </w:tc>
        <w:tc>
          <w:tcPr>
            <w:tcW w:w="710" w:type="pct"/>
            <w:vMerge w:val="continue"/>
            <w:shd w:val="clear" w:color="auto" w:fill="auto"/>
            <w:vAlign w:val="center"/>
          </w:tcPr>
          <w:p w14:paraId="6175E88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pPr>
          </w:p>
        </w:tc>
        <w:tc>
          <w:tcPr>
            <w:tcW w:w="315" w:type="pct"/>
            <w:vMerge w:val="continue"/>
            <w:shd w:val="clear" w:color="auto" w:fill="auto"/>
            <w:vAlign w:val="center"/>
          </w:tcPr>
          <w:p w14:paraId="7B7E301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p>
        </w:tc>
        <w:tc>
          <w:tcPr>
            <w:tcW w:w="617" w:type="pct"/>
            <w:shd w:val="clear" w:color="auto" w:fill="auto"/>
            <w:vAlign w:val="center"/>
          </w:tcPr>
          <w:p w14:paraId="3B8BCD6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一致</w:t>
            </w:r>
          </w:p>
        </w:tc>
      </w:tr>
      <w:tr w14:paraId="04EE4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6" w:type="pct"/>
            <w:shd w:val="clear" w:color="auto" w:fill="auto"/>
            <w:tcMar>
              <w:left w:w="0" w:type="dxa"/>
              <w:right w:w="0" w:type="dxa"/>
            </w:tcMar>
            <w:vAlign w:val="center"/>
          </w:tcPr>
          <w:p w14:paraId="2271A82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eastAsia="zh-CN"/>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4</w:t>
            </w:r>
          </w:p>
        </w:tc>
        <w:tc>
          <w:tcPr>
            <w:tcW w:w="1221" w:type="pct"/>
            <w:shd w:val="clear" w:color="auto" w:fill="auto"/>
            <w:tcMar>
              <w:left w:w="0" w:type="dxa"/>
              <w:right w:w="0" w:type="dxa"/>
            </w:tcMar>
            <w:vAlign w:val="center"/>
          </w:tcPr>
          <w:p w14:paraId="40DAD42C">
            <w:pPr>
              <w:topLinePunct/>
              <w:adjustRightInd w:val="0"/>
              <w:snapToGrid w:val="0"/>
              <w:jc w:val="center"/>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原料库</w:t>
            </w:r>
          </w:p>
        </w:tc>
        <w:tc>
          <w:tcPr>
            <w:tcW w:w="535" w:type="pct"/>
            <w:shd w:val="clear" w:color="auto" w:fill="auto"/>
            <w:tcMar>
              <w:left w:w="0" w:type="dxa"/>
              <w:right w:w="0" w:type="dxa"/>
            </w:tcMar>
            <w:vAlign w:val="center"/>
          </w:tcPr>
          <w:p w14:paraId="1E2310A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300</w:t>
            </w:r>
          </w:p>
        </w:tc>
        <w:tc>
          <w:tcPr>
            <w:tcW w:w="535" w:type="pct"/>
            <w:shd w:val="clear" w:color="auto" w:fill="auto"/>
            <w:tcMar>
              <w:left w:w="0" w:type="dxa"/>
              <w:right w:w="0" w:type="dxa"/>
            </w:tcMar>
            <w:vAlign w:val="center"/>
          </w:tcPr>
          <w:p w14:paraId="54A1895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300</w:t>
            </w:r>
          </w:p>
        </w:tc>
        <w:tc>
          <w:tcPr>
            <w:tcW w:w="625" w:type="pct"/>
            <w:shd w:val="clear" w:color="auto" w:fill="auto"/>
            <w:tcMar>
              <w:left w:w="0" w:type="dxa"/>
              <w:right w:w="0" w:type="dxa"/>
            </w:tcMar>
            <w:vAlign w:val="center"/>
          </w:tcPr>
          <w:p w14:paraId="4E9B8D8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20×10×3</w:t>
            </w:r>
          </w:p>
        </w:tc>
        <w:tc>
          <w:tcPr>
            <w:tcW w:w="710" w:type="pct"/>
            <w:vMerge w:val="continue"/>
            <w:shd w:val="clear" w:color="auto" w:fill="auto"/>
            <w:vAlign w:val="center"/>
          </w:tcPr>
          <w:p w14:paraId="0637335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p>
        </w:tc>
        <w:tc>
          <w:tcPr>
            <w:tcW w:w="315" w:type="pct"/>
            <w:vMerge w:val="continue"/>
            <w:shd w:val="clear" w:color="auto" w:fill="auto"/>
            <w:vAlign w:val="center"/>
          </w:tcPr>
          <w:p w14:paraId="3EAE761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p>
        </w:tc>
        <w:tc>
          <w:tcPr>
            <w:tcW w:w="617" w:type="pct"/>
            <w:shd w:val="clear" w:color="auto" w:fill="auto"/>
            <w:vAlign w:val="center"/>
          </w:tcPr>
          <w:p w14:paraId="4980C42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一致</w:t>
            </w:r>
          </w:p>
        </w:tc>
      </w:tr>
      <w:tr w14:paraId="5579E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6" w:type="pct"/>
            <w:shd w:val="clear" w:color="auto" w:fill="auto"/>
            <w:tcMar>
              <w:left w:w="0" w:type="dxa"/>
              <w:right w:w="0" w:type="dxa"/>
            </w:tcMar>
            <w:vAlign w:val="center"/>
          </w:tcPr>
          <w:p w14:paraId="0E8C222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其中包含</w:t>
            </w:r>
          </w:p>
        </w:tc>
        <w:tc>
          <w:tcPr>
            <w:tcW w:w="1221" w:type="pct"/>
            <w:shd w:val="clear" w:color="auto" w:fill="auto"/>
            <w:tcMar>
              <w:left w:w="0" w:type="dxa"/>
              <w:right w:w="0" w:type="dxa"/>
            </w:tcMar>
            <w:vAlign w:val="center"/>
          </w:tcPr>
          <w:p w14:paraId="4F52C3D4">
            <w:pPr>
              <w:topLinePunct/>
              <w:adjustRightInd w:val="0"/>
              <w:snapToGrid w:val="0"/>
              <w:jc w:val="center"/>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化学品仓库</w:t>
            </w:r>
          </w:p>
        </w:tc>
        <w:tc>
          <w:tcPr>
            <w:tcW w:w="535" w:type="pct"/>
            <w:shd w:val="clear" w:color="auto" w:fill="auto"/>
            <w:tcMar>
              <w:left w:w="0" w:type="dxa"/>
              <w:right w:w="0" w:type="dxa"/>
            </w:tcMar>
            <w:vAlign w:val="center"/>
          </w:tcPr>
          <w:p w14:paraId="30A7B5B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10</w:t>
            </w:r>
          </w:p>
        </w:tc>
        <w:tc>
          <w:tcPr>
            <w:tcW w:w="535" w:type="pct"/>
            <w:shd w:val="clear" w:color="auto" w:fill="auto"/>
            <w:tcMar>
              <w:left w:w="0" w:type="dxa"/>
              <w:right w:w="0" w:type="dxa"/>
            </w:tcMar>
            <w:vAlign w:val="center"/>
          </w:tcPr>
          <w:p w14:paraId="0B7D944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10</w:t>
            </w:r>
          </w:p>
        </w:tc>
        <w:tc>
          <w:tcPr>
            <w:tcW w:w="625" w:type="pct"/>
            <w:shd w:val="clear" w:color="auto" w:fill="auto"/>
            <w:tcMar>
              <w:left w:w="0" w:type="dxa"/>
              <w:right w:w="0" w:type="dxa"/>
            </w:tcMar>
            <w:vAlign w:val="center"/>
          </w:tcPr>
          <w:p w14:paraId="5BC9D48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3.2×3.2×4</w:t>
            </w:r>
          </w:p>
        </w:tc>
        <w:tc>
          <w:tcPr>
            <w:tcW w:w="710" w:type="pct"/>
            <w:shd w:val="clear" w:color="auto" w:fill="auto"/>
            <w:vAlign w:val="center"/>
          </w:tcPr>
          <w:p w14:paraId="373EA54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单层彩钢结构</w:t>
            </w:r>
          </w:p>
        </w:tc>
        <w:tc>
          <w:tcPr>
            <w:tcW w:w="315" w:type="pct"/>
            <w:vMerge w:val="continue"/>
            <w:shd w:val="clear" w:color="auto" w:fill="auto"/>
            <w:vAlign w:val="center"/>
          </w:tcPr>
          <w:p w14:paraId="38D3A7A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617" w:type="pct"/>
            <w:shd w:val="clear" w:color="auto" w:fill="auto"/>
            <w:vAlign w:val="center"/>
          </w:tcPr>
          <w:p w14:paraId="1162DAC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不一致，不再建设</w:t>
            </w:r>
          </w:p>
        </w:tc>
      </w:tr>
      <w:tr w14:paraId="67A97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6" w:type="pct"/>
            <w:shd w:val="clear" w:color="auto" w:fill="auto"/>
            <w:tcMar>
              <w:left w:w="0" w:type="dxa"/>
              <w:right w:w="0" w:type="dxa"/>
            </w:tcMar>
            <w:vAlign w:val="center"/>
          </w:tcPr>
          <w:p w14:paraId="02966D5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t>6</w:t>
            </w:r>
          </w:p>
        </w:tc>
        <w:tc>
          <w:tcPr>
            <w:tcW w:w="1221" w:type="pct"/>
            <w:shd w:val="clear" w:color="auto" w:fill="auto"/>
            <w:tcMar>
              <w:left w:w="0" w:type="dxa"/>
              <w:right w:w="0" w:type="dxa"/>
            </w:tcMar>
            <w:vAlign w:val="center"/>
          </w:tcPr>
          <w:p w14:paraId="6ABA6575">
            <w:pPr>
              <w:topLinePunct/>
              <w:adjustRightInd w:val="0"/>
              <w:snapToGrid w:val="0"/>
              <w:jc w:val="center"/>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一般固废储存库</w:t>
            </w:r>
          </w:p>
        </w:tc>
        <w:tc>
          <w:tcPr>
            <w:tcW w:w="535" w:type="pct"/>
            <w:shd w:val="clear" w:color="auto" w:fill="auto"/>
            <w:tcMar>
              <w:left w:w="0" w:type="dxa"/>
              <w:right w:w="0" w:type="dxa"/>
            </w:tcMar>
            <w:vAlign w:val="center"/>
          </w:tcPr>
          <w:p w14:paraId="2B4B452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100</w:t>
            </w:r>
          </w:p>
        </w:tc>
        <w:tc>
          <w:tcPr>
            <w:tcW w:w="535" w:type="pct"/>
            <w:shd w:val="clear" w:color="auto" w:fill="auto"/>
            <w:tcMar>
              <w:left w:w="0" w:type="dxa"/>
              <w:right w:w="0" w:type="dxa"/>
            </w:tcMar>
            <w:vAlign w:val="center"/>
          </w:tcPr>
          <w:p w14:paraId="1A0DD5F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100</w:t>
            </w:r>
          </w:p>
        </w:tc>
        <w:tc>
          <w:tcPr>
            <w:tcW w:w="625" w:type="pct"/>
            <w:shd w:val="clear" w:color="auto" w:fill="auto"/>
            <w:tcMar>
              <w:left w:w="0" w:type="dxa"/>
              <w:right w:w="0" w:type="dxa"/>
            </w:tcMar>
            <w:vAlign w:val="center"/>
          </w:tcPr>
          <w:p w14:paraId="1AD1B80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10×10×4</w:t>
            </w:r>
          </w:p>
        </w:tc>
        <w:tc>
          <w:tcPr>
            <w:tcW w:w="710" w:type="pct"/>
            <w:vMerge w:val="restart"/>
            <w:shd w:val="clear" w:color="auto" w:fill="auto"/>
            <w:vAlign w:val="center"/>
          </w:tcPr>
          <w:p w14:paraId="4307C3D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砖混结构</w:t>
            </w:r>
          </w:p>
        </w:tc>
        <w:tc>
          <w:tcPr>
            <w:tcW w:w="315" w:type="pct"/>
            <w:vMerge w:val="continue"/>
            <w:shd w:val="clear" w:color="auto" w:fill="auto"/>
            <w:vAlign w:val="center"/>
          </w:tcPr>
          <w:p w14:paraId="698A6DC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p>
        </w:tc>
        <w:tc>
          <w:tcPr>
            <w:tcW w:w="617" w:type="pct"/>
            <w:shd w:val="clear" w:color="auto" w:fill="auto"/>
            <w:vAlign w:val="center"/>
          </w:tcPr>
          <w:p w14:paraId="3B863D0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一致</w:t>
            </w:r>
          </w:p>
        </w:tc>
      </w:tr>
      <w:tr w14:paraId="76111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6" w:type="pct"/>
            <w:shd w:val="clear" w:color="auto" w:fill="auto"/>
            <w:tcMar>
              <w:left w:w="0" w:type="dxa"/>
              <w:right w:w="0" w:type="dxa"/>
            </w:tcMar>
            <w:vAlign w:val="center"/>
          </w:tcPr>
          <w:p w14:paraId="59953E9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t>7</w:t>
            </w:r>
          </w:p>
        </w:tc>
        <w:tc>
          <w:tcPr>
            <w:tcW w:w="1221" w:type="pct"/>
            <w:shd w:val="clear" w:color="auto" w:fill="auto"/>
            <w:tcMar>
              <w:left w:w="0" w:type="dxa"/>
              <w:right w:w="0" w:type="dxa"/>
            </w:tcMar>
            <w:vAlign w:val="center"/>
          </w:tcPr>
          <w:p w14:paraId="3C8DC149">
            <w:pPr>
              <w:topLinePunct/>
              <w:adjustRightInd w:val="0"/>
              <w:snapToGrid w:val="0"/>
              <w:jc w:val="center"/>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办公</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室</w:t>
            </w:r>
          </w:p>
        </w:tc>
        <w:tc>
          <w:tcPr>
            <w:tcW w:w="535" w:type="pct"/>
            <w:shd w:val="clear" w:color="auto" w:fill="auto"/>
            <w:tcMar>
              <w:left w:w="0" w:type="dxa"/>
              <w:right w:w="0" w:type="dxa"/>
            </w:tcMar>
            <w:vAlign w:val="center"/>
          </w:tcPr>
          <w:p w14:paraId="4C8D3B1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109</w:t>
            </w:r>
          </w:p>
        </w:tc>
        <w:tc>
          <w:tcPr>
            <w:tcW w:w="535" w:type="pct"/>
            <w:shd w:val="clear" w:color="auto" w:fill="auto"/>
            <w:tcMar>
              <w:left w:w="0" w:type="dxa"/>
              <w:right w:w="0" w:type="dxa"/>
            </w:tcMar>
            <w:vAlign w:val="center"/>
          </w:tcPr>
          <w:p w14:paraId="5F203AA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109</w:t>
            </w:r>
          </w:p>
        </w:tc>
        <w:tc>
          <w:tcPr>
            <w:tcW w:w="625" w:type="pct"/>
            <w:shd w:val="clear" w:color="auto" w:fill="auto"/>
            <w:tcMar>
              <w:left w:w="0" w:type="dxa"/>
              <w:right w:w="0" w:type="dxa"/>
            </w:tcMar>
            <w:vAlign w:val="center"/>
          </w:tcPr>
          <w:p w14:paraId="4A123E9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18×6×3</w:t>
            </w:r>
          </w:p>
        </w:tc>
        <w:tc>
          <w:tcPr>
            <w:tcW w:w="710" w:type="pct"/>
            <w:vMerge w:val="continue"/>
            <w:shd w:val="clear" w:color="auto" w:fill="auto"/>
            <w:vAlign w:val="center"/>
          </w:tcPr>
          <w:p w14:paraId="5AD19C1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p>
        </w:tc>
        <w:tc>
          <w:tcPr>
            <w:tcW w:w="315" w:type="pct"/>
            <w:vMerge w:val="continue"/>
            <w:shd w:val="clear" w:color="auto" w:fill="auto"/>
            <w:vAlign w:val="center"/>
          </w:tcPr>
          <w:p w14:paraId="1085430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p>
        </w:tc>
        <w:tc>
          <w:tcPr>
            <w:tcW w:w="617" w:type="pct"/>
            <w:shd w:val="clear" w:color="auto" w:fill="auto"/>
            <w:vAlign w:val="center"/>
          </w:tcPr>
          <w:p w14:paraId="7FCE3DE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一致</w:t>
            </w:r>
          </w:p>
        </w:tc>
      </w:tr>
      <w:tr w14:paraId="426C8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6" w:type="pct"/>
            <w:shd w:val="clear" w:color="auto" w:fill="auto"/>
            <w:tcMar>
              <w:left w:w="0" w:type="dxa"/>
              <w:right w:w="0" w:type="dxa"/>
            </w:tcMar>
            <w:vAlign w:val="center"/>
          </w:tcPr>
          <w:p w14:paraId="5197C82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t>8</w:t>
            </w:r>
          </w:p>
        </w:tc>
        <w:tc>
          <w:tcPr>
            <w:tcW w:w="1221" w:type="pct"/>
            <w:shd w:val="clear" w:color="auto" w:fill="auto"/>
            <w:tcMar>
              <w:left w:w="0" w:type="dxa"/>
              <w:right w:w="0" w:type="dxa"/>
            </w:tcMar>
            <w:vAlign w:val="center"/>
          </w:tcPr>
          <w:p w14:paraId="747D17C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t>危废间</w:t>
            </w:r>
          </w:p>
        </w:tc>
        <w:tc>
          <w:tcPr>
            <w:tcW w:w="535" w:type="pct"/>
            <w:shd w:val="clear" w:color="auto" w:fill="auto"/>
            <w:tcMar>
              <w:left w:w="0" w:type="dxa"/>
              <w:right w:w="0" w:type="dxa"/>
            </w:tcMar>
            <w:vAlign w:val="center"/>
          </w:tcPr>
          <w:p w14:paraId="4F046BA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5</w:t>
            </w:r>
          </w:p>
        </w:tc>
        <w:tc>
          <w:tcPr>
            <w:tcW w:w="535" w:type="pct"/>
            <w:shd w:val="clear" w:color="auto" w:fill="auto"/>
            <w:tcMar>
              <w:left w:w="0" w:type="dxa"/>
              <w:right w:w="0" w:type="dxa"/>
            </w:tcMar>
            <w:vAlign w:val="center"/>
          </w:tcPr>
          <w:p w14:paraId="301ECB4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5</w:t>
            </w:r>
          </w:p>
        </w:tc>
        <w:tc>
          <w:tcPr>
            <w:tcW w:w="625" w:type="pct"/>
            <w:shd w:val="clear" w:color="auto" w:fill="auto"/>
            <w:tcMar>
              <w:left w:w="0" w:type="dxa"/>
              <w:right w:w="0" w:type="dxa"/>
            </w:tcMar>
            <w:vAlign w:val="center"/>
          </w:tcPr>
          <w:p w14:paraId="411B087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2.5×2×3</w:t>
            </w:r>
          </w:p>
        </w:tc>
        <w:tc>
          <w:tcPr>
            <w:tcW w:w="710" w:type="pct"/>
            <w:shd w:val="clear" w:color="auto" w:fill="auto"/>
            <w:vAlign w:val="center"/>
          </w:tcPr>
          <w:p w14:paraId="1210BE5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双层彩钢结构</w:t>
            </w:r>
          </w:p>
        </w:tc>
        <w:tc>
          <w:tcPr>
            <w:tcW w:w="315" w:type="pct"/>
            <w:shd w:val="clear" w:color="auto" w:fill="auto"/>
            <w:vAlign w:val="center"/>
          </w:tcPr>
          <w:p w14:paraId="434249D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新建</w:t>
            </w:r>
          </w:p>
        </w:tc>
        <w:tc>
          <w:tcPr>
            <w:tcW w:w="617" w:type="pct"/>
            <w:shd w:val="clear" w:color="auto" w:fill="auto"/>
            <w:vAlign w:val="center"/>
          </w:tcPr>
          <w:p w14:paraId="5BA2482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一致</w:t>
            </w:r>
          </w:p>
        </w:tc>
      </w:tr>
      <w:tr w14:paraId="47DE8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36" w:type="pct"/>
            <w:shd w:val="clear" w:color="auto" w:fill="auto"/>
            <w:tcMar>
              <w:left w:w="0" w:type="dxa"/>
              <w:right w:w="0" w:type="dxa"/>
            </w:tcMar>
            <w:vAlign w:val="center"/>
          </w:tcPr>
          <w:p w14:paraId="2EE4EC5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9</w:t>
            </w:r>
          </w:p>
        </w:tc>
        <w:tc>
          <w:tcPr>
            <w:tcW w:w="1221" w:type="pct"/>
            <w:shd w:val="clear" w:color="auto" w:fill="auto"/>
            <w:tcMar>
              <w:left w:w="0" w:type="dxa"/>
              <w:right w:w="0" w:type="dxa"/>
            </w:tcMar>
            <w:vAlign w:val="center"/>
          </w:tcPr>
          <w:p w14:paraId="1D9F217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事故应急水池</w:t>
            </w:r>
          </w:p>
        </w:tc>
        <w:tc>
          <w:tcPr>
            <w:tcW w:w="535" w:type="pct"/>
            <w:shd w:val="clear" w:color="auto" w:fill="auto"/>
            <w:tcMar>
              <w:left w:w="0" w:type="dxa"/>
              <w:right w:w="0" w:type="dxa"/>
            </w:tcMar>
            <w:vAlign w:val="center"/>
          </w:tcPr>
          <w:p w14:paraId="3CD9C49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64</w:t>
            </w:r>
          </w:p>
        </w:tc>
        <w:tc>
          <w:tcPr>
            <w:tcW w:w="535" w:type="pct"/>
            <w:shd w:val="clear" w:color="auto" w:fill="auto"/>
            <w:tcMar>
              <w:left w:w="0" w:type="dxa"/>
              <w:right w:w="0" w:type="dxa"/>
            </w:tcMar>
            <w:vAlign w:val="center"/>
          </w:tcPr>
          <w:p w14:paraId="13B7FA9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64</w:t>
            </w:r>
          </w:p>
        </w:tc>
        <w:tc>
          <w:tcPr>
            <w:tcW w:w="625" w:type="pct"/>
            <w:shd w:val="clear" w:color="auto" w:fill="auto"/>
            <w:tcMar>
              <w:left w:w="0" w:type="dxa"/>
              <w:right w:w="0" w:type="dxa"/>
            </w:tcMar>
            <w:vAlign w:val="center"/>
          </w:tcPr>
          <w:p w14:paraId="69C7B28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8×8×2.8</w:t>
            </w:r>
          </w:p>
        </w:tc>
        <w:tc>
          <w:tcPr>
            <w:tcW w:w="710" w:type="pct"/>
            <w:shd w:val="clear" w:color="auto" w:fill="auto"/>
            <w:vAlign w:val="center"/>
          </w:tcPr>
          <w:p w14:paraId="3883D73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地下，180m</w:t>
            </w:r>
            <w:r>
              <w:rPr>
                <w:rFonts w:hint="default" w:ascii="Times New Roman" w:hAnsi="Times New Roman" w:eastAsia="宋体" w:cs="Times New Roman"/>
                <w:bCs/>
                <w:snapToGrid w:val="0"/>
                <w:color w:val="000000" w:themeColor="text1"/>
                <w:kern w:val="0"/>
                <w:sz w:val="21"/>
                <w:szCs w:val="21"/>
                <w:highlight w:val="none"/>
                <w:vertAlign w:val="superscript"/>
                <w:lang w:val="en-US" w:eastAsia="zh-CN"/>
                <w14:textFill>
                  <w14:solidFill>
                    <w14:schemeClr w14:val="tx1"/>
                  </w14:solidFill>
                </w14:textFill>
              </w:rPr>
              <w:t>3</w:t>
            </w: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混凝土浇筑</w:t>
            </w:r>
          </w:p>
        </w:tc>
        <w:tc>
          <w:tcPr>
            <w:tcW w:w="315" w:type="pct"/>
            <w:shd w:val="clear" w:color="auto" w:fill="auto"/>
            <w:vAlign w:val="center"/>
          </w:tcPr>
          <w:p w14:paraId="53EED11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新建</w:t>
            </w:r>
          </w:p>
        </w:tc>
        <w:tc>
          <w:tcPr>
            <w:tcW w:w="617" w:type="pct"/>
            <w:shd w:val="clear" w:color="auto" w:fill="auto"/>
            <w:vAlign w:val="center"/>
          </w:tcPr>
          <w:p w14:paraId="5B269DC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不一致，实际建设</w:t>
            </w:r>
            <w:r>
              <w:rPr>
                <w:rFonts w:hint="eastAsia" w:ascii="Times New Roman" w:hAnsi="Times New Roman" w:eastAsia="宋体" w:cs="Times New Roman"/>
                <w:color w:val="000000"/>
                <w:sz w:val="21"/>
                <w:szCs w:val="21"/>
                <w:highlight w:val="none"/>
                <w:lang w:val="en-US" w:eastAsia="zh-CN"/>
              </w:rPr>
              <w:t>为</w:t>
            </w:r>
            <w:r>
              <w:rPr>
                <w:rFonts w:hint="eastAsia" w:ascii="Times New Roman" w:hAnsi="Times New Roman" w:cs="Times New Roman"/>
                <w:color w:val="000000"/>
                <w:sz w:val="21"/>
                <w:szCs w:val="21"/>
                <w:highlight w:val="none"/>
                <w:lang w:val="en-US" w:eastAsia="zh-CN"/>
              </w:rPr>
              <w:t>2个</w:t>
            </w:r>
            <w:r>
              <w:rPr>
                <w:rFonts w:hint="default" w:ascii="Times New Roman" w:hAnsi="Times New Roman" w:eastAsia="宋体" w:cs="Times New Roman"/>
                <w:color w:val="000000"/>
                <w:sz w:val="21"/>
                <w:szCs w:val="21"/>
                <w:highlight w:val="none"/>
                <w:lang w:val="en-US" w:eastAsia="zh-CN"/>
              </w:rPr>
              <w:t>事故</w:t>
            </w:r>
            <w:r>
              <w:rPr>
                <w:rFonts w:hint="eastAsia" w:ascii="Times New Roman" w:hAnsi="Times New Roman" w:eastAsia="宋体" w:cs="Times New Roman"/>
                <w:color w:val="000000"/>
                <w:sz w:val="21"/>
                <w:szCs w:val="21"/>
                <w:highlight w:val="none"/>
                <w:lang w:val="en-US" w:eastAsia="zh-CN"/>
              </w:rPr>
              <w:t>收集桶，共40</w:t>
            </w:r>
            <w:r>
              <w:rPr>
                <w:rFonts w:hint="default" w:ascii="Times New Roman" w:hAnsi="Times New Roman" w:eastAsia="宋体" w:cs="Times New Roman"/>
                <w:color w:val="000000"/>
                <w:sz w:val="21"/>
                <w:szCs w:val="21"/>
                <w:highlight w:val="none"/>
                <w:lang w:val="en-US" w:eastAsia="zh-CN"/>
              </w:rPr>
              <w:t>m</w:t>
            </w:r>
            <w:r>
              <w:rPr>
                <w:rFonts w:hint="default" w:ascii="Times New Roman" w:hAnsi="Times New Roman" w:eastAsia="宋体" w:cs="Times New Roman"/>
                <w:color w:val="000000"/>
                <w:sz w:val="21"/>
                <w:szCs w:val="21"/>
                <w:highlight w:val="none"/>
                <w:vertAlign w:val="superscript"/>
                <w:lang w:val="en-US" w:eastAsia="zh-CN"/>
              </w:rPr>
              <w:t>3</w:t>
            </w:r>
          </w:p>
        </w:tc>
      </w:tr>
      <w:tr w14:paraId="7F77A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58" w:type="pct"/>
            <w:gridSpan w:val="2"/>
            <w:shd w:val="clear" w:color="auto" w:fill="auto"/>
            <w:tcMar>
              <w:left w:w="0" w:type="dxa"/>
              <w:right w:w="0" w:type="dxa"/>
            </w:tcMar>
            <w:vAlign w:val="center"/>
          </w:tcPr>
          <w:p w14:paraId="1A3E81E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合计</w:t>
            </w:r>
          </w:p>
        </w:tc>
        <w:tc>
          <w:tcPr>
            <w:tcW w:w="535" w:type="pct"/>
            <w:shd w:val="clear" w:color="auto" w:fill="auto"/>
            <w:tcMar>
              <w:left w:w="0" w:type="dxa"/>
              <w:right w:w="0" w:type="dxa"/>
            </w:tcMar>
            <w:vAlign w:val="center"/>
          </w:tcPr>
          <w:p w14:paraId="0CBA4A2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1408</w:t>
            </w:r>
          </w:p>
        </w:tc>
        <w:tc>
          <w:tcPr>
            <w:tcW w:w="535" w:type="pct"/>
            <w:shd w:val="clear" w:color="auto" w:fill="auto"/>
            <w:tcMar>
              <w:left w:w="0" w:type="dxa"/>
              <w:right w:w="0" w:type="dxa"/>
            </w:tcMar>
            <w:vAlign w:val="center"/>
          </w:tcPr>
          <w:p w14:paraId="451C62D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1408</w:t>
            </w:r>
          </w:p>
        </w:tc>
        <w:tc>
          <w:tcPr>
            <w:tcW w:w="625" w:type="pct"/>
            <w:shd w:val="clear" w:color="auto" w:fill="auto"/>
            <w:tcMar>
              <w:left w:w="0" w:type="dxa"/>
              <w:right w:w="0" w:type="dxa"/>
            </w:tcMar>
            <w:vAlign w:val="center"/>
          </w:tcPr>
          <w:p w14:paraId="47A4C30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t>--</w:t>
            </w:r>
          </w:p>
        </w:tc>
        <w:tc>
          <w:tcPr>
            <w:tcW w:w="710" w:type="pct"/>
            <w:shd w:val="clear" w:color="auto" w:fill="auto"/>
            <w:vAlign w:val="center"/>
          </w:tcPr>
          <w:p w14:paraId="54A1A54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t>--</w:t>
            </w:r>
          </w:p>
        </w:tc>
        <w:tc>
          <w:tcPr>
            <w:tcW w:w="315" w:type="pct"/>
            <w:shd w:val="clear" w:color="auto" w:fill="auto"/>
            <w:vAlign w:val="center"/>
          </w:tcPr>
          <w:p w14:paraId="1A073E5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t>--</w:t>
            </w:r>
          </w:p>
        </w:tc>
        <w:tc>
          <w:tcPr>
            <w:tcW w:w="617" w:type="pct"/>
            <w:shd w:val="clear" w:color="auto" w:fill="auto"/>
            <w:vAlign w:val="center"/>
          </w:tcPr>
          <w:p w14:paraId="73D1710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napToGrid w:val="0"/>
                <w:color w:val="000000" w:themeColor="text1"/>
                <w:kern w:val="0"/>
                <w:sz w:val="21"/>
                <w:szCs w:val="21"/>
                <w:highlight w:val="none"/>
                <w14:textFill>
                  <w14:solidFill>
                    <w14:schemeClr w14:val="tx1"/>
                  </w14:solidFill>
                </w14:textFill>
              </w:rPr>
            </w:pPr>
          </w:p>
        </w:tc>
      </w:tr>
    </w:tbl>
    <w:p w14:paraId="4CD9D8E7">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Theme="minorEastAsia"/>
          <w:color w:val="auto"/>
          <w:highlight w:val="none"/>
          <w:lang w:eastAsia="zh-CN"/>
        </w:rPr>
      </w:pPr>
      <w:r>
        <w:rPr>
          <w:rFonts w:hint="eastAsia"/>
          <w:color w:val="auto"/>
          <w:highlight w:val="none"/>
        </w:rPr>
        <w:t>3.2.</w:t>
      </w:r>
      <w:r>
        <w:rPr>
          <w:rFonts w:hint="eastAsia"/>
          <w:color w:val="auto"/>
          <w:highlight w:val="none"/>
          <w:lang w:val="en-US" w:eastAsia="zh-CN"/>
        </w:rPr>
        <w:t>6</w:t>
      </w:r>
      <w:r>
        <w:rPr>
          <w:rFonts w:hint="eastAsia"/>
          <w:color w:val="auto"/>
          <w:highlight w:val="none"/>
        </w:rPr>
        <w:t>生产</w:t>
      </w:r>
      <w:r>
        <w:rPr>
          <w:rFonts w:hint="eastAsia"/>
          <w:color w:val="auto"/>
          <w:highlight w:val="none"/>
          <w:lang w:val="en-US" w:eastAsia="zh-CN"/>
        </w:rPr>
        <w:t>设备</w:t>
      </w:r>
    </w:p>
    <w:p w14:paraId="07A95B55">
      <w:pPr>
        <w:spacing w:line="360" w:lineRule="auto"/>
        <w:ind w:firstLine="480" w:firstLineChars="200"/>
        <w:rPr>
          <w:rFonts w:hint="eastAsia" w:ascii="Times New Roman" w:hAnsi="Times New Roman" w:eastAsiaTheme="minorEastAsia"/>
          <w:color w:val="auto"/>
          <w:sz w:val="24"/>
          <w:szCs w:val="24"/>
          <w:highlight w:val="none"/>
        </w:rPr>
      </w:pPr>
      <w:r>
        <w:rPr>
          <w:rFonts w:hint="eastAsia" w:ascii="Times New Roman" w:hAnsi="Times New Roman" w:eastAsiaTheme="minorEastAsia"/>
          <w:color w:val="auto"/>
          <w:sz w:val="24"/>
          <w:szCs w:val="24"/>
          <w:highlight w:val="none"/>
        </w:rPr>
        <w:t>本项目主要生产设备情况见表3-</w:t>
      </w:r>
      <w:r>
        <w:rPr>
          <w:rFonts w:hint="eastAsia" w:ascii="Times New Roman" w:hAnsi="Times New Roman" w:eastAsiaTheme="minorEastAsia"/>
          <w:color w:val="auto"/>
          <w:sz w:val="24"/>
          <w:szCs w:val="24"/>
          <w:highlight w:val="none"/>
          <w:lang w:val="en-US" w:eastAsia="zh-CN"/>
        </w:rPr>
        <w:t>3</w:t>
      </w:r>
      <w:r>
        <w:rPr>
          <w:rFonts w:hint="eastAsia" w:ascii="Times New Roman" w:hAnsi="Times New Roman" w:eastAsiaTheme="minorEastAsia"/>
          <w:color w:val="auto"/>
          <w:sz w:val="24"/>
          <w:szCs w:val="24"/>
          <w:highlight w:val="none"/>
        </w:rPr>
        <w:t>。</w:t>
      </w:r>
    </w:p>
    <w:p w14:paraId="48099E40">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表3-</w:t>
      </w:r>
      <w:r>
        <w:rPr>
          <w:rFonts w:hint="eastAsia" w:ascii="Times New Roman" w:hAnsi="Times New Roman" w:eastAsia="宋体" w:cs="Times New Roman"/>
          <w:b/>
          <w:color w:val="auto"/>
          <w:sz w:val="24"/>
          <w:szCs w:val="24"/>
          <w:highlight w:val="none"/>
          <w:lang w:val="en-US" w:eastAsia="zh-CN"/>
        </w:rPr>
        <w:t>3</w:t>
      </w:r>
      <w:r>
        <w:rPr>
          <w:rFonts w:hint="default" w:ascii="Times New Roman" w:hAnsi="Times New Roman" w:eastAsia="宋体" w:cs="Times New Roman"/>
          <w:b/>
          <w:color w:val="auto"/>
          <w:sz w:val="24"/>
          <w:szCs w:val="24"/>
          <w:highlight w:val="none"/>
        </w:rPr>
        <w:t>主要生产设备一览表</w:t>
      </w:r>
    </w:p>
    <w:tbl>
      <w:tblPr>
        <w:tblStyle w:val="32"/>
        <w:tblW w:w="551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7"/>
        <w:gridCol w:w="492"/>
        <w:gridCol w:w="1340"/>
        <w:gridCol w:w="1136"/>
        <w:gridCol w:w="1299"/>
        <w:gridCol w:w="801"/>
        <w:gridCol w:w="721"/>
        <w:gridCol w:w="1235"/>
        <w:gridCol w:w="855"/>
        <w:gridCol w:w="703"/>
      </w:tblGrid>
      <w:tr w14:paraId="55D4A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jc w:val="center"/>
        </w:trPr>
        <w:tc>
          <w:tcPr>
            <w:tcW w:w="325" w:type="pct"/>
            <w:tcBorders>
              <w:tl2br w:val="nil"/>
              <w:tr2bl w:val="nil"/>
            </w:tcBorders>
            <w:vAlign w:val="center"/>
          </w:tcPr>
          <w:p w14:paraId="799F2C73">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t>生产线</w:t>
            </w:r>
          </w:p>
        </w:tc>
        <w:tc>
          <w:tcPr>
            <w:tcW w:w="267" w:type="pct"/>
            <w:tcBorders>
              <w:tl2br w:val="nil"/>
              <w:tr2bl w:val="nil"/>
            </w:tcBorders>
            <w:vAlign w:val="center"/>
          </w:tcPr>
          <w:p w14:paraId="456915BB">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t>序号</w:t>
            </w:r>
          </w:p>
        </w:tc>
        <w:tc>
          <w:tcPr>
            <w:tcW w:w="730" w:type="pct"/>
            <w:tcBorders>
              <w:tl2br w:val="nil"/>
              <w:tr2bl w:val="nil"/>
            </w:tcBorders>
            <w:vAlign w:val="center"/>
          </w:tcPr>
          <w:p w14:paraId="28D64CDE">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t>名称</w:t>
            </w:r>
          </w:p>
        </w:tc>
        <w:tc>
          <w:tcPr>
            <w:tcW w:w="1326" w:type="pct"/>
            <w:gridSpan w:val="2"/>
            <w:tcBorders>
              <w:tl2br w:val="nil"/>
              <w:tr2bl w:val="nil"/>
            </w:tcBorders>
            <w:vAlign w:val="center"/>
          </w:tcPr>
          <w:p w14:paraId="4ADBBA50">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t>型号（规格）</w:t>
            </w:r>
          </w:p>
        </w:tc>
        <w:tc>
          <w:tcPr>
            <w:tcW w:w="436" w:type="pct"/>
            <w:tcBorders>
              <w:tl2br w:val="nil"/>
              <w:tr2bl w:val="nil"/>
            </w:tcBorders>
            <w:vAlign w:val="center"/>
          </w:tcPr>
          <w:p w14:paraId="427DE651">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pPr>
            <w:r>
              <w:rPr>
                <w:rFonts w:hint="eastAsia" w:ascii="Times New Roman" w:hAnsi="Times New Roman" w:eastAsia="宋体" w:cs="Times New Roman"/>
                <w:b w:val="0"/>
                <w:bCs w:val="0"/>
                <w:color w:val="auto"/>
                <w:kern w:val="0"/>
                <w:sz w:val="21"/>
                <w:szCs w:val="21"/>
                <w:highlight w:val="none"/>
                <w:lang w:val="en-US" w:eastAsia="zh-CN"/>
              </w:rPr>
              <w:t>环评批复数量</w:t>
            </w:r>
            <w: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t>（台/套）</w:t>
            </w:r>
          </w:p>
        </w:tc>
        <w:tc>
          <w:tcPr>
            <w:tcW w:w="392" w:type="pct"/>
            <w:tcBorders>
              <w:tl2br w:val="nil"/>
              <w:tr2bl w:val="nil"/>
            </w:tcBorders>
            <w:vAlign w:val="center"/>
          </w:tcPr>
          <w:p w14:paraId="33EB9079">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pPr>
            <w:r>
              <w:rPr>
                <w:rFonts w:hint="eastAsia" w:ascii="Times New Roman" w:hAnsi="Times New Roman" w:eastAsia="宋体" w:cs="Times New Roman"/>
                <w:b w:val="0"/>
                <w:bCs w:val="0"/>
                <w:color w:val="auto"/>
                <w:kern w:val="0"/>
                <w:sz w:val="21"/>
                <w:szCs w:val="21"/>
                <w:highlight w:val="none"/>
                <w:lang w:val="en-US" w:eastAsia="zh-CN"/>
              </w:rPr>
              <w:t>实际建设数量</w:t>
            </w:r>
            <w: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t>（台/套）</w:t>
            </w:r>
          </w:p>
        </w:tc>
        <w:tc>
          <w:tcPr>
            <w:tcW w:w="1138" w:type="pct"/>
            <w:gridSpan w:val="2"/>
            <w:tcBorders>
              <w:tl2br w:val="nil"/>
              <w:tr2bl w:val="nil"/>
            </w:tcBorders>
            <w:vAlign w:val="center"/>
          </w:tcPr>
          <w:p w14:paraId="0274C2AE">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b w:val="0"/>
                <w:bCs w:val="0"/>
                <w:color w:val="auto"/>
                <w:kern w:val="0"/>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实际</w:t>
            </w:r>
            <w: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t>型号（规格）</w:t>
            </w:r>
          </w:p>
        </w:tc>
        <w:tc>
          <w:tcPr>
            <w:tcW w:w="382" w:type="pct"/>
            <w:tcBorders>
              <w:tl2br w:val="nil"/>
              <w:tr2bl w:val="nil"/>
            </w:tcBorders>
            <w:vAlign w:val="center"/>
          </w:tcPr>
          <w:p w14:paraId="5A314858">
            <w:pPr>
              <w:keepNext w:val="0"/>
              <w:keepLines w:val="0"/>
              <w:pageBreakBefore w:val="0"/>
              <w:widowControl/>
              <w:kinsoku/>
              <w:wordWrap/>
              <w:overflowPunct/>
              <w:topLinePunct w:val="0"/>
              <w:autoSpaceDE/>
              <w:autoSpaceDN/>
              <w:bidi w:val="0"/>
              <w:adjustRightInd/>
              <w:snapToGrid/>
              <w:spacing w:line="240" w:lineRule="auto"/>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一致性</w:t>
            </w:r>
          </w:p>
        </w:tc>
      </w:tr>
      <w:tr w14:paraId="42A6C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jc w:val="center"/>
        </w:trPr>
        <w:tc>
          <w:tcPr>
            <w:tcW w:w="325" w:type="pct"/>
            <w:tcBorders>
              <w:tl2br w:val="nil"/>
              <w:tr2bl w:val="nil"/>
            </w:tcBorders>
            <w:vAlign w:val="center"/>
          </w:tcPr>
          <w:p w14:paraId="6F77AACB">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切割</w:t>
            </w:r>
          </w:p>
        </w:tc>
        <w:tc>
          <w:tcPr>
            <w:tcW w:w="267" w:type="pct"/>
            <w:tcBorders>
              <w:tl2br w:val="nil"/>
              <w:tr2bl w:val="nil"/>
            </w:tcBorders>
            <w:vAlign w:val="center"/>
          </w:tcPr>
          <w:p w14:paraId="72B827BB">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w:t>
            </w:r>
          </w:p>
        </w:tc>
        <w:tc>
          <w:tcPr>
            <w:tcW w:w="730" w:type="pct"/>
            <w:tcBorders>
              <w:tl2br w:val="nil"/>
              <w:tr2bl w:val="nil"/>
            </w:tcBorders>
            <w:vAlign w:val="center"/>
          </w:tcPr>
          <w:p w14:paraId="60EE0553">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带锯切割机</w:t>
            </w:r>
          </w:p>
        </w:tc>
        <w:tc>
          <w:tcPr>
            <w:tcW w:w="1326" w:type="pct"/>
            <w:gridSpan w:val="2"/>
            <w:tcBorders>
              <w:tl2br w:val="nil"/>
              <w:tr2bl w:val="nil"/>
            </w:tcBorders>
            <w:vAlign w:val="center"/>
          </w:tcPr>
          <w:p w14:paraId="5B1684B7">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MJ345B</w:t>
            </w:r>
          </w:p>
        </w:tc>
        <w:tc>
          <w:tcPr>
            <w:tcW w:w="436" w:type="pct"/>
            <w:tcBorders>
              <w:tl2br w:val="nil"/>
              <w:tr2bl w:val="nil"/>
            </w:tcBorders>
            <w:vAlign w:val="center"/>
          </w:tcPr>
          <w:p w14:paraId="11BEC321">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w:t>
            </w:r>
          </w:p>
        </w:tc>
        <w:tc>
          <w:tcPr>
            <w:tcW w:w="392" w:type="pct"/>
            <w:tcBorders>
              <w:tl2br w:val="nil"/>
              <w:tr2bl w:val="nil"/>
            </w:tcBorders>
            <w:vAlign w:val="center"/>
          </w:tcPr>
          <w:p w14:paraId="64883FA4">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w:t>
            </w:r>
          </w:p>
        </w:tc>
        <w:tc>
          <w:tcPr>
            <w:tcW w:w="1138" w:type="pct"/>
            <w:gridSpan w:val="2"/>
            <w:tcBorders>
              <w:tl2br w:val="nil"/>
              <w:tr2bl w:val="nil"/>
            </w:tcBorders>
            <w:vAlign w:val="center"/>
          </w:tcPr>
          <w:p w14:paraId="430E76AA">
            <w:pPr>
              <w:keepNext w:val="0"/>
              <w:keepLines w:val="0"/>
              <w:pageBreakBefore w:val="0"/>
              <w:widowControl/>
              <w:kinsoku/>
              <w:wordWrap/>
              <w:overflowPunct/>
              <w:topLinePunct w:val="0"/>
              <w:autoSpaceDE/>
              <w:autoSpaceDN/>
              <w:bidi w:val="0"/>
              <w:adjustRightInd/>
              <w:snapToGrid/>
              <w:spacing w:line="240" w:lineRule="auto"/>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MJ345B</w:t>
            </w:r>
          </w:p>
        </w:tc>
        <w:tc>
          <w:tcPr>
            <w:tcW w:w="382" w:type="pct"/>
            <w:tcBorders>
              <w:tl2br w:val="nil"/>
              <w:tr2bl w:val="nil"/>
            </w:tcBorders>
            <w:vAlign w:val="center"/>
          </w:tcPr>
          <w:p w14:paraId="35A498B4">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一致</w:t>
            </w:r>
          </w:p>
        </w:tc>
      </w:tr>
      <w:tr w14:paraId="5871C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jc w:val="center"/>
        </w:trPr>
        <w:tc>
          <w:tcPr>
            <w:tcW w:w="325" w:type="pct"/>
            <w:tcBorders>
              <w:tl2br w:val="nil"/>
              <w:tr2bl w:val="nil"/>
            </w:tcBorders>
            <w:vAlign w:val="center"/>
          </w:tcPr>
          <w:p w14:paraId="06BD5D24">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抛光生产线</w:t>
            </w:r>
          </w:p>
        </w:tc>
        <w:tc>
          <w:tcPr>
            <w:tcW w:w="267" w:type="pct"/>
            <w:tcBorders>
              <w:tl2br w:val="nil"/>
              <w:tr2bl w:val="nil"/>
            </w:tcBorders>
            <w:vAlign w:val="center"/>
          </w:tcPr>
          <w:p w14:paraId="16B80F00">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2</w:t>
            </w:r>
          </w:p>
        </w:tc>
        <w:tc>
          <w:tcPr>
            <w:tcW w:w="730" w:type="pct"/>
            <w:tcBorders>
              <w:tl2br w:val="nil"/>
              <w:tr2bl w:val="nil"/>
            </w:tcBorders>
            <w:vAlign w:val="center"/>
          </w:tcPr>
          <w:p w14:paraId="56501E64">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抛光机</w:t>
            </w:r>
          </w:p>
        </w:tc>
        <w:tc>
          <w:tcPr>
            <w:tcW w:w="1326" w:type="pct"/>
            <w:gridSpan w:val="2"/>
            <w:tcBorders>
              <w:tl2br w:val="nil"/>
              <w:tr2bl w:val="nil"/>
            </w:tcBorders>
            <w:vAlign w:val="center"/>
          </w:tcPr>
          <w:p w14:paraId="0B5DC962">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4.0kw（双工位）</w:t>
            </w:r>
          </w:p>
        </w:tc>
        <w:tc>
          <w:tcPr>
            <w:tcW w:w="436" w:type="pct"/>
            <w:tcBorders>
              <w:tl2br w:val="nil"/>
              <w:tr2bl w:val="nil"/>
            </w:tcBorders>
            <w:vAlign w:val="center"/>
          </w:tcPr>
          <w:p w14:paraId="786C6446">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12</w:t>
            </w:r>
          </w:p>
        </w:tc>
        <w:tc>
          <w:tcPr>
            <w:tcW w:w="392" w:type="pct"/>
            <w:tcBorders>
              <w:tl2br w:val="nil"/>
              <w:tr2bl w:val="nil"/>
            </w:tcBorders>
            <w:vAlign w:val="center"/>
          </w:tcPr>
          <w:p w14:paraId="6E26BF25">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12</w:t>
            </w:r>
          </w:p>
        </w:tc>
        <w:tc>
          <w:tcPr>
            <w:tcW w:w="1138" w:type="pct"/>
            <w:gridSpan w:val="2"/>
            <w:tcBorders>
              <w:tl2br w:val="nil"/>
              <w:tr2bl w:val="nil"/>
            </w:tcBorders>
            <w:vAlign w:val="center"/>
          </w:tcPr>
          <w:p w14:paraId="6B7510C4">
            <w:pPr>
              <w:keepNext w:val="0"/>
              <w:keepLines w:val="0"/>
              <w:pageBreakBefore w:val="0"/>
              <w:widowControl/>
              <w:kinsoku/>
              <w:wordWrap/>
              <w:overflowPunct/>
              <w:topLinePunct w:val="0"/>
              <w:autoSpaceDE/>
              <w:autoSpaceDN/>
              <w:bidi w:val="0"/>
              <w:adjustRightInd/>
              <w:snapToGrid/>
              <w:spacing w:line="240" w:lineRule="auto"/>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4.0kw（双工位）</w:t>
            </w:r>
          </w:p>
        </w:tc>
        <w:tc>
          <w:tcPr>
            <w:tcW w:w="382" w:type="pct"/>
            <w:tcBorders>
              <w:tl2br w:val="nil"/>
              <w:tr2bl w:val="nil"/>
            </w:tcBorders>
            <w:vAlign w:val="center"/>
          </w:tcPr>
          <w:p w14:paraId="6BEEEAB9">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一致</w:t>
            </w:r>
          </w:p>
        </w:tc>
      </w:tr>
      <w:tr w14:paraId="59DC9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jc w:val="center"/>
        </w:trPr>
        <w:tc>
          <w:tcPr>
            <w:tcW w:w="325" w:type="pct"/>
            <w:vMerge w:val="restart"/>
            <w:tcBorders>
              <w:tl2br w:val="nil"/>
              <w:tr2bl w:val="nil"/>
            </w:tcBorders>
            <w:vAlign w:val="center"/>
          </w:tcPr>
          <w:p w14:paraId="5B28B293">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阳极氧化线</w:t>
            </w:r>
          </w:p>
        </w:tc>
        <w:tc>
          <w:tcPr>
            <w:tcW w:w="267" w:type="pct"/>
            <w:tcBorders>
              <w:tl2br w:val="nil"/>
              <w:tr2bl w:val="nil"/>
            </w:tcBorders>
            <w:vAlign w:val="center"/>
          </w:tcPr>
          <w:p w14:paraId="20D55700">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3</w:t>
            </w:r>
          </w:p>
        </w:tc>
        <w:tc>
          <w:tcPr>
            <w:tcW w:w="730" w:type="pct"/>
            <w:tcBorders>
              <w:tl2br w:val="nil"/>
              <w:tr2bl w:val="nil"/>
            </w:tcBorders>
            <w:vAlign w:val="center"/>
          </w:tcPr>
          <w:p w14:paraId="0C00ED3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除油槽</w:t>
            </w:r>
          </w:p>
        </w:tc>
        <w:tc>
          <w:tcPr>
            <w:tcW w:w="618" w:type="pct"/>
            <w:tcBorders>
              <w:tl2br w:val="nil"/>
              <w:tr2bl w:val="nil"/>
            </w:tcBorders>
            <w:vAlign w:val="center"/>
          </w:tcPr>
          <w:p w14:paraId="79D045CD">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L2.5×B1.0×H1.5m</w:t>
            </w:r>
          </w:p>
        </w:tc>
        <w:tc>
          <w:tcPr>
            <w:tcW w:w="707" w:type="pct"/>
            <w:vMerge w:val="restart"/>
            <w:tcBorders>
              <w:tl2br w:val="nil"/>
              <w:tr2bl w:val="nil"/>
            </w:tcBorders>
            <w:vAlign w:val="center"/>
          </w:tcPr>
          <w:p w14:paraId="01AD3BBC">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池体架空设置，PP材质，体外围设置明沟，做防腐防渗处理，加盖篦子，收集洒落槽液；明沟外设置15~20cm围堰，做到车间干湿分区</w:t>
            </w:r>
          </w:p>
        </w:tc>
        <w:tc>
          <w:tcPr>
            <w:tcW w:w="436" w:type="pct"/>
            <w:tcBorders>
              <w:tl2br w:val="nil"/>
              <w:tr2bl w:val="nil"/>
            </w:tcBorders>
            <w:vAlign w:val="center"/>
          </w:tcPr>
          <w:p w14:paraId="7EEEEAA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1</w:t>
            </w:r>
          </w:p>
        </w:tc>
        <w:tc>
          <w:tcPr>
            <w:tcW w:w="392" w:type="pct"/>
            <w:tcBorders>
              <w:tl2br w:val="nil"/>
              <w:tr2bl w:val="nil"/>
            </w:tcBorders>
            <w:shd w:val="clear" w:color="auto" w:fill="auto"/>
            <w:vAlign w:val="center"/>
          </w:tcPr>
          <w:p w14:paraId="1CDE822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1</w:t>
            </w:r>
          </w:p>
        </w:tc>
        <w:tc>
          <w:tcPr>
            <w:tcW w:w="672" w:type="pct"/>
            <w:tcBorders>
              <w:tl2br w:val="nil"/>
              <w:tr2bl w:val="nil"/>
            </w:tcBorders>
            <w:vAlign w:val="center"/>
          </w:tcPr>
          <w:p w14:paraId="13E30EFD">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L2</w:t>
            </w: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.0</w:t>
            </w: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×B1.0×H1.5m</w:t>
            </w:r>
          </w:p>
        </w:tc>
        <w:tc>
          <w:tcPr>
            <w:tcW w:w="465" w:type="pct"/>
            <w:vMerge w:val="restart"/>
            <w:tcBorders>
              <w:tl2br w:val="nil"/>
              <w:tr2bl w:val="nil"/>
            </w:tcBorders>
            <w:vAlign w:val="center"/>
          </w:tcPr>
          <w:p w14:paraId="7838A125">
            <w:pPr>
              <w:keepNext w:val="0"/>
              <w:keepLines w:val="0"/>
              <w:pageBreakBefore w:val="0"/>
              <w:widowControl/>
              <w:kinsoku/>
              <w:wordWrap/>
              <w:overflowPunct/>
              <w:topLinePunct w:val="0"/>
              <w:autoSpaceDE/>
              <w:autoSpaceDN/>
              <w:bidi w:val="0"/>
              <w:adjustRightInd/>
              <w:snapToGrid/>
              <w:spacing w:line="240" w:lineRule="auto"/>
              <w:jc w:val="center"/>
              <w:rPr>
                <w:highlight w:val="none"/>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池体架空设置，PP材质，体外围设置明沟，做防腐防渗处理，加盖篦子，收集洒落槽液；明沟外设置15~20cm围堰，做到车间干湿分区</w:t>
            </w:r>
          </w:p>
        </w:tc>
        <w:tc>
          <w:tcPr>
            <w:tcW w:w="382" w:type="pct"/>
            <w:tcBorders>
              <w:tl2br w:val="nil"/>
              <w:tr2bl w:val="nil"/>
            </w:tcBorders>
            <w:vAlign w:val="center"/>
          </w:tcPr>
          <w:p w14:paraId="0678DF3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一致</w:t>
            </w:r>
          </w:p>
        </w:tc>
      </w:tr>
      <w:tr w14:paraId="0EA153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jc w:val="center"/>
        </w:trPr>
        <w:tc>
          <w:tcPr>
            <w:tcW w:w="325" w:type="pct"/>
            <w:vMerge w:val="continue"/>
            <w:tcBorders>
              <w:tl2br w:val="nil"/>
              <w:tr2bl w:val="nil"/>
            </w:tcBorders>
            <w:vAlign w:val="center"/>
          </w:tcPr>
          <w:p w14:paraId="73C3F395">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c>
          <w:tcPr>
            <w:tcW w:w="267" w:type="pct"/>
            <w:tcBorders>
              <w:tl2br w:val="nil"/>
              <w:tr2bl w:val="nil"/>
            </w:tcBorders>
            <w:vAlign w:val="center"/>
          </w:tcPr>
          <w:p w14:paraId="315AC217">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4</w:t>
            </w:r>
          </w:p>
        </w:tc>
        <w:tc>
          <w:tcPr>
            <w:tcW w:w="730" w:type="pct"/>
            <w:tcBorders>
              <w:tl2br w:val="nil"/>
              <w:tr2bl w:val="nil"/>
            </w:tcBorders>
            <w:vAlign w:val="center"/>
          </w:tcPr>
          <w:p w14:paraId="7DCFE28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水洗槽①~②</w:t>
            </w:r>
          </w:p>
        </w:tc>
        <w:tc>
          <w:tcPr>
            <w:tcW w:w="618" w:type="pct"/>
            <w:tcBorders>
              <w:tl2br w:val="nil"/>
              <w:tr2bl w:val="nil"/>
            </w:tcBorders>
            <w:vAlign w:val="center"/>
          </w:tcPr>
          <w:p w14:paraId="43CEDE3C">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L3.0×B1.0×H1.5m</w:t>
            </w:r>
          </w:p>
        </w:tc>
        <w:tc>
          <w:tcPr>
            <w:tcW w:w="707" w:type="pct"/>
            <w:vMerge w:val="continue"/>
            <w:tcBorders>
              <w:tl2br w:val="nil"/>
              <w:tr2bl w:val="nil"/>
            </w:tcBorders>
            <w:vAlign w:val="center"/>
          </w:tcPr>
          <w:p w14:paraId="6064F78B">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p>
        </w:tc>
        <w:tc>
          <w:tcPr>
            <w:tcW w:w="436" w:type="pct"/>
            <w:tcBorders>
              <w:tl2br w:val="nil"/>
              <w:tr2bl w:val="nil"/>
            </w:tcBorders>
            <w:vAlign w:val="center"/>
          </w:tcPr>
          <w:p w14:paraId="668DEB5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2</w:t>
            </w:r>
          </w:p>
        </w:tc>
        <w:tc>
          <w:tcPr>
            <w:tcW w:w="392" w:type="pct"/>
            <w:tcBorders>
              <w:tl2br w:val="nil"/>
              <w:tr2bl w:val="nil"/>
            </w:tcBorders>
            <w:shd w:val="clear" w:color="auto" w:fill="auto"/>
            <w:vAlign w:val="center"/>
          </w:tcPr>
          <w:p w14:paraId="2FFED64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1</w:t>
            </w:r>
          </w:p>
        </w:tc>
        <w:tc>
          <w:tcPr>
            <w:tcW w:w="672" w:type="pct"/>
            <w:tcBorders>
              <w:tl2br w:val="nil"/>
              <w:tr2bl w:val="nil"/>
            </w:tcBorders>
            <w:vAlign w:val="center"/>
          </w:tcPr>
          <w:p w14:paraId="28F79D50">
            <w:pPr>
              <w:keepNext w:val="0"/>
              <w:keepLines w:val="0"/>
              <w:pageBreakBefore w:val="0"/>
              <w:widowControl/>
              <w:kinsoku/>
              <w:wordWrap/>
              <w:overflowPunct/>
              <w:topLinePunct w:val="0"/>
              <w:autoSpaceDE/>
              <w:autoSpaceDN/>
              <w:bidi w:val="0"/>
              <w:adjustRightInd/>
              <w:snapToGrid/>
              <w:spacing w:line="240" w:lineRule="auto"/>
              <w:jc w:val="cente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L</w:t>
            </w: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2.5</w:t>
            </w: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×B1.0×H1.5m</w:t>
            </w:r>
          </w:p>
        </w:tc>
        <w:tc>
          <w:tcPr>
            <w:tcW w:w="465" w:type="pct"/>
            <w:vMerge w:val="continue"/>
            <w:tcBorders>
              <w:tl2br w:val="nil"/>
              <w:tr2bl w:val="nil"/>
            </w:tcBorders>
            <w:vAlign w:val="center"/>
          </w:tcPr>
          <w:p w14:paraId="15CB96B3">
            <w:pPr>
              <w:keepNext w:val="0"/>
              <w:keepLines w:val="0"/>
              <w:pageBreakBefore w:val="0"/>
              <w:widowControl/>
              <w:kinsoku/>
              <w:wordWrap/>
              <w:overflowPunct/>
              <w:topLinePunct w:val="0"/>
              <w:autoSpaceDE/>
              <w:autoSpaceDN/>
              <w:bidi w:val="0"/>
              <w:adjustRightInd/>
              <w:snapToGrid/>
              <w:spacing w:line="240" w:lineRule="auto"/>
              <w:jc w:val="center"/>
              <w:rPr>
                <w:highlight w:val="none"/>
              </w:rPr>
            </w:pPr>
          </w:p>
        </w:tc>
        <w:tc>
          <w:tcPr>
            <w:tcW w:w="382" w:type="pct"/>
            <w:tcBorders>
              <w:tl2br w:val="nil"/>
              <w:tr2bl w:val="nil"/>
            </w:tcBorders>
            <w:vAlign w:val="center"/>
          </w:tcPr>
          <w:p w14:paraId="029BBF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不一致</w:t>
            </w:r>
          </w:p>
        </w:tc>
      </w:tr>
      <w:tr w14:paraId="79D29F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jc w:val="center"/>
        </w:trPr>
        <w:tc>
          <w:tcPr>
            <w:tcW w:w="325" w:type="pct"/>
            <w:vMerge w:val="continue"/>
            <w:tcBorders>
              <w:tl2br w:val="nil"/>
              <w:tr2bl w:val="nil"/>
            </w:tcBorders>
            <w:vAlign w:val="center"/>
          </w:tcPr>
          <w:p w14:paraId="2D6AC3DB">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c>
          <w:tcPr>
            <w:tcW w:w="267" w:type="pct"/>
            <w:tcBorders>
              <w:tl2br w:val="nil"/>
              <w:tr2bl w:val="nil"/>
            </w:tcBorders>
            <w:vAlign w:val="center"/>
          </w:tcPr>
          <w:p w14:paraId="5AF9F3F1">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5</w:t>
            </w:r>
          </w:p>
        </w:tc>
        <w:tc>
          <w:tcPr>
            <w:tcW w:w="730" w:type="pct"/>
            <w:tcBorders>
              <w:tl2br w:val="nil"/>
              <w:tr2bl w:val="nil"/>
            </w:tcBorders>
            <w:vAlign w:val="center"/>
          </w:tcPr>
          <w:p w14:paraId="2A68CA9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阳极氧化槽</w:t>
            </w:r>
          </w:p>
        </w:tc>
        <w:tc>
          <w:tcPr>
            <w:tcW w:w="618" w:type="pct"/>
            <w:tcBorders>
              <w:tl2br w:val="nil"/>
              <w:tr2bl w:val="nil"/>
            </w:tcBorders>
            <w:vAlign w:val="center"/>
          </w:tcPr>
          <w:p w14:paraId="5812F9AA">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L3.0×B1.0×H1.5m</w:t>
            </w:r>
          </w:p>
        </w:tc>
        <w:tc>
          <w:tcPr>
            <w:tcW w:w="707" w:type="pct"/>
            <w:vMerge w:val="continue"/>
            <w:tcBorders>
              <w:tl2br w:val="nil"/>
              <w:tr2bl w:val="nil"/>
            </w:tcBorders>
            <w:vAlign w:val="center"/>
          </w:tcPr>
          <w:p w14:paraId="514590FD">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p>
        </w:tc>
        <w:tc>
          <w:tcPr>
            <w:tcW w:w="436" w:type="pct"/>
            <w:tcBorders>
              <w:tl2br w:val="nil"/>
              <w:tr2bl w:val="nil"/>
            </w:tcBorders>
            <w:vAlign w:val="center"/>
          </w:tcPr>
          <w:p w14:paraId="67FB884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1</w:t>
            </w:r>
          </w:p>
        </w:tc>
        <w:tc>
          <w:tcPr>
            <w:tcW w:w="392" w:type="pct"/>
            <w:tcBorders>
              <w:tl2br w:val="nil"/>
              <w:tr2bl w:val="nil"/>
            </w:tcBorders>
            <w:shd w:val="clear" w:color="auto" w:fill="auto"/>
            <w:vAlign w:val="center"/>
          </w:tcPr>
          <w:p w14:paraId="6709E4C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1</w:t>
            </w:r>
          </w:p>
        </w:tc>
        <w:tc>
          <w:tcPr>
            <w:tcW w:w="672" w:type="pct"/>
            <w:tcBorders>
              <w:tl2br w:val="nil"/>
              <w:tr2bl w:val="nil"/>
            </w:tcBorders>
            <w:vAlign w:val="center"/>
          </w:tcPr>
          <w:p w14:paraId="7E3B55B3">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L</w:t>
            </w: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2.5</w:t>
            </w: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×B1.0×H1.5m</w:t>
            </w:r>
          </w:p>
        </w:tc>
        <w:tc>
          <w:tcPr>
            <w:tcW w:w="465" w:type="pct"/>
            <w:vMerge w:val="continue"/>
            <w:tcBorders>
              <w:tl2br w:val="nil"/>
              <w:tr2bl w:val="nil"/>
            </w:tcBorders>
            <w:vAlign w:val="center"/>
          </w:tcPr>
          <w:p w14:paraId="15280F84">
            <w:pPr>
              <w:keepNext w:val="0"/>
              <w:keepLines w:val="0"/>
              <w:pageBreakBefore w:val="0"/>
              <w:widowControl/>
              <w:kinsoku/>
              <w:wordWrap/>
              <w:overflowPunct/>
              <w:topLinePunct w:val="0"/>
              <w:autoSpaceDE/>
              <w:autoSpaceDN/>
              <w:bidi w:val="0"/>
              <w:adjustRightInd/>
              <w:snapToGrid/>
              <w:spacing w:line="240" w:lineRule="auto"/>
              <w:jc w:val="center"/>
              <w:rPr>
                <w:highlight w:val="none"/>
              </w:rPr>
            </w:pPr>
          </w:p>
        </w:tc>
        <w:tc>
          <w:tcPr>
            <w:tcW w:w="382" w:type="pct"/>
            <w:tcBorders>
              <w:tl2br w:val="nil"/>
              <w:tr2bl w:val="nil"/>
            </w:tcBorders>
            <w:vAlign w:val="center"/>
          </w:tcPr>
          <w:p w14:paraId="5465B12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不一致</w:t>
            </w:r>
          </w:p>
        </w:tc>
      </w:tr>
      <w:tr w14:paraId="4C490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jc w:val="center"/>
        </w:trPr>
        <w:tc>
          <w:tcPr>
            <w:tcW w:w="325" w:type="pct"/>
            <w:vMerge w:val="continue"/>
            <w:tcBorders>
              <w:tl2br w:val="nil"/>
              <w:tr2bl w:val="nil"/>
            </w:tcBorders>
            <w:vAlign w:val="center"/>
          </w:tcPr>
          <w:p w14:paraId="3E257F73">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c>
          <w:tcPr>
            <w:tcW w:w="267" w:type="pct"/>
            <w:tcBorders>
              <w:tl2br w:val="nil"/>
              <w:tr2bl w:val="nil"/>
            </w:tcBorders>
            <w:vAlign w:val="center"/>
          </w:tcPr>
          <w:p w14:paraId="5EE5C0F2">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6</w:t>
            </w:r>
          </w:p>
        </w:tc>
        <w:tc>
          <w:tcPr>
            <w:tcW w:w="730" w:type="pct"/>
            <w:tcBorders>
              <w:tl2br w:val="nil"/>
              <w:tr2bl w:val="nil"/>
            </w:tcBorders>
            <w:vAlign w:val="center"/>
          </w:tcPr>
          <w:p w14:paraId="13FF35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水洗槽③~④</w:t>
            </w:r>
          </w:p>
        </w:tc>
        <w:tc>
          <w:tcPr>
            <w:tcW w:w="618" w:type="pct"/>
            <w:tcBorders>
              <w:tl2br w:val="nil"/>
              <w:tr2bl w:val="nil"/>
            </w:tcBorders>
            <w:vAlign w:val="center"/>
          </w:tcPr>
          <w:p w14:paraId="089A2CC8">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L2.0×B0.6×H1.5m</w:t>
            </w:r>
          </w:p>
        </w:tc>
        <w:tc>
          <w:tcPr>
            <w:tcW w:w="707" w:type="pct"/>
            <w:vMerge w:val="continue"/>
            <w:tcBorders>
              <w:tl2br w:val="nil"/>
              <w:tr2bl w:val="nil"/>
            </w:tcBorders>
            <w:vAlign w:val="center"/>
          </w:tcPr>
          <w:p w14:paraId="27DB8AED">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p>
        </w:tc>
        <w:tc>
          <w:tcPr>
            <w:tcW w:w="436" w:type="pct"/>
            <w:tcBorders>
              <w:tl2br w:val="nil"/>
              <w:tr2bl w:val="nil"/>
            </w:tcBorders>
            <w:vAlign w:val="center"/>
          </w:tcPr>
          <w:p w14:paraId="53E1839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2</w:t>
            </w:r>
          </w:p>
        </w:tc>
        <w:tc>
          <w:tcPr>
            <w:tcW w:w="392" w:type="pct"/>
            <w:tcBorders>
              <w:tl2br w:val="nil"/>
              <w:tr2bl w:val="nil"/>
            </w:tcBorders>
            <w:shd w:val="clear" w:color="auto" w:fill="auto"/>
            <w:vAlign w:val="center"/>
          </w:tcPr>
          <w:p w14:paraId="378F6D5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1</w:t>
            </w:r>
          </w:p>
        </w:tc>
        <w:tc>
          <w:tcPr>
            <w:tcW w:w="672" w:type="pct"/>
            <w:tcBorders>
              <w:tl2br w:val="nil"/>
              <w:tr2bl w:val="nil"/>
            </w:tcBorders>
            <w:vAlign w:val="center"/>
          </w:tcPr>
          <w:p w14:paraId="51F82C0A">
            <w:pPr>
              <w:keepNext w:val="0"/>
              <w:keepLines w:val="0"/>
              <w:pageBreakBefore w:val="0"/>
              <w:widowControl/>
              <w:kinsoku/>
              <w:wordWrap/>
              <w:overflowPunct/>
              <w:topLinePunct w:val="0"/>
              <w:autoSpaceDE/>
              <w:autoSpaceDN/>
              <w:bidi w:val="0"/>
              <w:adjustRightInd/>
              <w:snapToGrid/>
              <w:spacing w:line="240" w:lineRule="auto"/>
              <w:jc w:val="cente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L2.</w:t>
            </w: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5</w:t>
            </w: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×B</w:t>
            </w: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1.0</w:t>
            </w: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×H1.5m</w:t>
            </w:r>
          </w:p>
        </w:tc>
        <w:tc>
          <w:tcPr>
            <w:tcW w:w="465" w:type="pct"/>
            <w:vMerge w:val="continue"/>
            <w:tcBorders>
              <w:tl2br w:val="nil"/>
              <w:tr2bl w:val="nil"/>
            </w:tcBorders>
            <w:vAlign w:val="center"/>
          </w:tcPr>
          <w:p w14:paraId="66F81900">
            <w:pPr>
              <w:keepNext w:val="0"/>
              <w:keepLines w:val="0"/>
              <w:pageBreakBefore w:val="0"/>
              <w:widowControl/>
              <w:kinsoku/>
              <w:wordWrap/>
              <w:overflowPunct/>
              <w:topLinePunct w:val="0"/>
              <w:autoSpaceDE/>
              <w:autoSpaceDN/>
              <w:bidi w:val="0"/>
              <w:adjustRightInd/>
              <w:snapToGrid/>
              <w:spacing w:line="240" w:lineRule="auto"/>
              <w:jc w:val="center"/>
              <w:rPr>
                <w:highlight w:val="none"/>
              </w:rPr>
            </w:pPr>
          </w:p>
        </w:tc>
        <w:tc>
          <w:tcPr>
            <w:tcW w:w="382" w:type="pct"/>
            <w:tcBorders>
              <w:tl2br w:val="nil"/>
              <w:tr2bl w:val="nil"/>
            </w:tcBorders>
            <w:vAlign w:val="center"/>
          </w:tcPr>
          <w:p w14:paraId="549AA33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不一致</w:t>
            </w:r>
          </w:p>
        </w:tc>
      </w:tr>
      <w:tr w14:paraId="25378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jc w:val="center"/>
        </w:trPr>
        <w:tc>
          <w:tcPr>
            <w:tcW w:w="325" w:type="pct"/>
            <w:vMerge w:val="continue"/>
            <w:tcBorders>
              <w:tl2br w:val="nil"/>
              <w:tr2bl w:val="nil"/>
            </w:tcBorders>
            <w:vAlign w:val="center"/>
          </w:tcPr>
          <w:p w14:paraId="21AA0F1F">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c>
          <w:tcPr>
            <w:tcW w:w="267" w:type="pct"/>
            <w:tcBorders>
              <w:tl2br w:val="nil"/>
              <w:tr2bl w:val="nil"/>
            </w:tcBorders>
            <w:vAlign w:val="center"/>
          </w:tcPr>
          <w:p w14:paraId="0029317E">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7</w:t>
            </w:r>
          </w:p>
        </w:tc>
        <w:tc>
          <w:tcPr>
            <w:tcW w:w="730" w:type="pct"/>
            <w:tcBorders>
              <w:tl2br w:val="nil"/>
              <w:tr2bl w:val="nil"/>
            </w:tcBorders>
            <w:vAlign w:val="center"/>
          </w:tcPr>
          <w:p w14:paraId="6852CEB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冲洗槽</w:t>
            </w:r>
          </w:p>
        </w:tc>
        <w:tc>
          <w:tcPr>
            <w:tcW w:w="618" w:type="pct"/>
            <w:tcBorders>
              <w:tl2br w:val="nil"/>
              <w:tr2bl w:val="nil"/>
            </w:tcBorders>
            <w:vAlign w:val="center"/>
          </w:tcPr>
          <w:p w14:paraId="2A4B6B8D">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L2.0×B0.6×H1.5m</w:t>
            </w:r>
          </w:p>
        </w:tc>
        <w:tc>
          <w:tcPr>
            <w:tcW w:w="707" w:type="pct"/>
            <w:vMerge w:val="continue"/>
            <w:tcBorders>
              <w:tl2br w:val="nil"/>
              <w:tr2bl w:val="nil"/>
            </w:tcBorders>
            <w:vAlign w:val="center"/>
          </w:tcPr>
          <w:p w14:paraId="79140F4C">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p>
        </w:tc>
        <w:tc>
          <w:tcPr>
            <w:tcW w:w="436" w:type="pct"/>
            <w:tcBorders>
              <w:tl2br w:val="nil"/>
              <w:tr2bl w:val="nil"/>
            </w:tcBorders>
            <w:vAlign w:val="center"/>
          </w:tcPr>
          <w:p w14:paraId="2C06CB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1</w:t>
            </w:r>
          </w:p>
        </w:tc>
        <w:tc>
          <w:tcPr>
            <w:tcW w:w="392" w:type="pct"/>
            <w:tcBorders>
              <w:tl2br w:val="nil"/>
              <w:tr2bl w:val="nil"/>
            </w:tcBorders>
            <w:shd w:val="clear" w:color="auto" w:fill="auto"/>
            <w:vAlign w:val="center"/>
          </w:tcPr>
          <w:p w14:paraId="0F26118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0</w:t>
            </w:r>
          </w:p>
        </w:tc>
        <w:tc>
          <w:tcPr>
            <w:tcW w:w="672" w:type="pct"/>
            <w:tcBorders>
              <w:tl2br w:val="nil"/>
              <w:tr2bl w:val="nil"/>
            </w:tcBorders>
            <w:vAlign w:val="center"/>
          </w:tcPr>
          <w:p w14:paraId="38502A65">
            <w:pPr>
              <w:keepNext w:val="0"/>
              <w:keepLines w:val="0"/>
              <w:pageBreakBefore w:val="0"/>
              <w:widowControl/>
              <w:kinsoku/>
              <w:wordWrap/>
              <w:overflowPunct/>
              <w:topLinePunct w:val="0"/>
              <w:autoSpaceDE/>
              <w:autoSpaceDN/>
              <w:bidi w:val="0"/>
              <w:adjustRightInd/>
              <w:snapToGrid/>
              <w:spacing w:line="240" w:lineRule="auto"/>
              <w:jc w:val="cente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w:t>
            </w:r>
          </w:p>
        </w:tc>
        <w:tc>
          <w:tcPr>
            <w:tcW w:w="465" w:type="pct"/>
            <w:vMerge w:val="continue"/>
            <w:tcBorders>
              <w:tl2br w:val="nil"/>
              <w:tr2bl w:val="nil"/>
            </w:tcBorders>
            <w:vAlign w:val="center"/>
          </w:tcPr>
          <w:p w14:paraId="4A7FF4AD">
            <w:pPr>
              <w:keepNext w:val="0"/>
              <w:keepLines w:val="0"/>
              <w:pageBreakBefore w:val="0"/>
              <w:widowControl/>
              <w:kinsoku/>
              <w:wordWrap/>
              <w:overflowPunct/>
              <w:topLinePunct w:val="0"/>
              <w:autoSpaceDE/>
              <w:autoSpaceDN/>
              <w:bidi w:val="0"/>
              <w:adjustRightInd/>
              <w:snapToGrid/>
              <w:spacing w:line="240" w:lineRule="auto"/>
              <w:jc w:val="center"/>
              <w:rPr>
                <w:highlight w:val="none"/>
              </w:rPr>
            </w:pPr>
          </w:p>
        </w:tc>
        <w:tc>
          <w:tcPr>
            <w:tcW w:w="382" w:type="pct"/>
            <w:tcBorders>
              <w:tl2br w:val="nil"/>
              <w:tr2bl w:val="nil"/>
            </w:tcBorders>
            <w:vAlign w:val="center"/>
          </w:tcPr>
          <w:p w14:paraId="541C49E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不一致</w:t>
            </w:r>
          </w:p>
        </w:tc>
      </w:tr>
      <w:tr w14:paraId="3A91A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jc w:val="center"/>
        </w:trPr>
        <w:tc>
          <w:tcPr>
            <w:tcW w:w="325" w:type="pct"/>
            <w:vMerge w:val="continue"/>
            <w:tcBorders>
              <w:tl2br w:val="nil"/>
              <w:tr2bl w:val="nil"/>
            </w:tcBorders>
            <w:vAlign w:val="center"/>
          </w:tcPr>
          <w:p w14:paraId="2755EA89">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c>
          <w:tcPr>
            <w:tcW w:w="267" w:type="pct"/>
            <w:tcBorders>
              <w:tl2br w:val="nil"/>
              <w:tr2bl w:val="nil"/>
            </w:tcBorders>
            <w:vAlign w:val="center"/>
          </w:tcPr>
          <w:p w14:paraId="120582B8">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8</w:t>
            </w:r>
          </w:p>
        </w:tc>
        <w:tc>
          <w:tcPr>
            <w:tcW w:w="730" w:type="pct"/>
            <w:tcBorders>
              <w:tl2br w:val="nil"/>
              <w:tr2bl w:val="nil"/>
            </w:tcBorders>
            <w:vAlign w:val="center"/>
          </w:tcPr>
          <w:p w14:paraId="0A78F8C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封闭槽</w:t>
            </w:r>
          </w:p>
        </w:tc>
        <w:tc>
          <w:tcPr>
            <w:tcW w:w="618" w:type="pct"/>
            <w:tcBorders>
              <w:tl2br w:val="nil"/>
              <w:tr2bl w:val="nil"/>
            </w:tcBorders>
            <w:vAlign w:val="center"/>
          </w:tcPr>
          <w:p w14:paraId="3E090B31">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L2.0×B0.6×H1.5m</w:t>
            </w:r>
          </w:p>
        </w:tc>
        <w:tc>
          <w:tcPr>
            <w:tcW w:w="707" w:type="pct"/>
            <w:vMerge w:val="continue"/>
            <w:tcBorders>
              <w:tl2br w:val="nil"/>
              <w:tr2bl w:val="nil"/>
            </w:tcBorders>
            <w:vAlign w:val="center"/>
          </w:tcPr>
          <w:p w14:paraId="4B07F16B">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p>
        </w:tc>
        <w:tc>
          <w:tcPr>
            <w:tcW w:w="436" w:type="pct"/>
            <w:tcBorders>
              <w:tl2br w:val="nil"/>
              <w:tr2bl w:val="nil"/>
            </w:tcBorders>
            <w:vAlign w:val="center"/>
          </w:tcPr>
          <w:p w14:paraId="0D13B51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1</w:t>
            </w:r>
          </w:p>
        </w:tc>
        <w:tc>
          <w:tcPr>
            <w:tcW w:w="392" w:type="pct"/>
            <w:tcBorders>
              <w:tl2br w:val="nil"/>
              <w:tr2bl w:val="nil"/>
            </w:tcBorders>
            <w:shd w:val="clear" w:color="auto" w:fill="auto"/>
            <w:vAlign w:val="center"/>
          </w:tcPr>
          <w:p w14:paraId="3A3611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1</w:t>
            </w:r>
          </w:p>
        </w:tc>
        <w:tc>
          <w:tcPr>
            <w:tcW w:w="672" w:type="pct"/>
            <w:tcBorders>
              <w:tl2br w:val="nil"/>
              <w:tr2bl w:val="nil"/>
            </w:tcBorders>
            <w:vAlign w:val="center"/>
          </w:tcPr>
          <w:p w14:paraId="5CC7EC3B">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L2.</w:t>
            </w: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5</w:t>
            </w: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×B</w:t>
            </w: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1.0</w:t>
            </w: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×H1.5m</w:t>
            </w:r>
          </w:p>
        </w:tc>
        <w:tc>
          <w:tcPr>
            <w:tcW w:w="465" w:type="pct"/>
            <w:vMerge w:val="continue"/>
            <w:tcBorders>
              <w:tl2br w:val="nil"/>
              <w:tr2bl w:val="nil"/>
            </w:tcBorders>
            <w:vAlign w:val="center"/>
          </w:tcPr>
          <w:p w14:paraId="3C33430F">
            <w:pPr>
              <w:keepNext w:val="0"/>
              <w:keepLines w:val="0"/>
              <w:pageBreakBefore w:val="0"/>
              <w:widowControl/>
              <w:kinsoku/>
              <w:wordWrap/>
              <w:overflowPunct/>
              <w:topLinePunct w:val="0"/>
              <w:autoSpaceDE/>
              <w:autoSpaceDN/>
              <w:bidi w:val="0"/>
              <w:adjustRightInd/>
              <w:snapToGrid/>
              <w:spacing w:line="240" w:lineRule="auto"/>
              <w:jc w:val="center"/>
              <w:rPr>
                <w:highlight w:val="none"/>
              </w:rPr>
            </w:pPr>
          </w:p>
        </w:tc>
        <w:tc>
          <w:tcPr>
            <w:tcW w:w="382" w:type="pct"/>
            <w:tcBorders>
              <w:tl2br w:val="nil"/>
              <w:tr2bl w:val="nil"/>
            </w:tcBorders>
            <w:vAlign w:val="center"/>
          </w:tcPr>
          <w:p w14:paraId="12BBC76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不一致</w:t>
            </w:r>
          </w:p>
        </w:tc>
      </w:tr>
      <w:tr w14:paraId="25FD8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jc w:val="center"/>
        </w:trPr>
        <w:tc>
          <w:tcPr>
            <w:tcW w:w="325" w:type="pct"/>
            <w:vMerge w:val="continue"/>
            <w:tcBorders>
              <w:tl2br w:val="nil"/>
              <w:tr2bl w:val="nil"/>
            </w:tcBorders>
            <w:vAlign w:val="center"/>
          </w:tcPr>
          <w:p w14:paraId="15A2B3AF">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c>
          <w:tcPr>
            <w:tcW w:w="267" w:type="pct"/>
            <w:tcBorders>
              <w:tl2br w:val="nil"/>
              <w:tr2bl w:val="nil"/>
            </w:tcBorders>
            <w:vAlign w:val="center"/>
          </w:tcPr>
          <w:p w14:paraId="4537923C">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9</w:t>
            </w:r>
          </w:p>
        </w:tc>
        <w:tc>
          <w:tcPr>
            <w:tcW w:w="730" w:type="pct"/>
            <w:tcBorders>
              <w:tl2br w:val="nil"/>
              <w:tr2bl w:val="nil"/>
            </w:tcBorders>
            <w:vAlign w:val="center"/>
          </w:tcPr>
          <w:p w14:paraId="6E71EC1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水洗槽⑤</w:t>
            </w:r>
          </w:p>
        </w:tc>
        <w:tc>
          <w:tcPr>
            <w:tcW w:w="618" w:type="pct"/>
            <w:tcBorders>
              <w:tl2br w:val="nil"/>
              <w:tr2bl w:val="nil"/>
            </w:tcBorders>
            <w:vAlign w:val="center"/>
          </w:tcPr>
          <w:p w14:paraId="02C05246">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L2.0×B0.6×H1.5m</w:t>
            </w:r>
          </w:p>
        </w:tc>
        <w:tc>
          <w:tcPr>
            <w:tcW w:w="707" w:type="pct"/>
            <w:vMerge w:val="continue"/>
            <w:tcBorders>
              <w:tl2br w:val="nil"/>
              <w:tr2bl w:val="nil"/>
            </w:tcBorders>
            <w:vAlign w:val="center"/>
          </w:tcPr>
          <w:p w14:paraId="56079985">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p>
        </w:tc>
        <w:tc>
          <w:tcPr>
            <w:tcW w:w="436" w:type="pct"/>
            <w:tcBorders>
              <w:tl2br w:val="nil"/>
              <w:tr2bl w:val="nil"/>
            </w:tcBorders>
            <w:vAlign w:val="center"/>
          </w:tcPr>
          <w:p w14:paraId="7CA7B3C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1</w:t>
            </w:r>
          </w:p>
        </w:tc>
        <w:tc>
          <w:tcPr>
            <w:tcW w:w="392" w:type="pct"/>
            <w:tcBorders>
              <w:tl2br w:val="nil"/>
              <w:tr2bl w:val="nil"/>
            </w:tcBorders>
            <w:shd w:val="clear" w:color="auto" w:fill="auto"/>
            <w:vAlign w:val="center"/>
          </w:tcPr>
          <w:p w14:paraId="464209E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1</w:t>
            </w:r>
          </w:p>
        </w:tc>
        <w:tc>
          <w:tcPr>
            <w:tcW w:w="672" w:type="pct"/>
            <w:tcBorders>
              <w:tl2br w:val="nil"/>
              <w:tr2bl w:val="nil"/>
            </w:tcBorders>
            <w:vAlign w:val="center"/>
          </w:tcPr>
          <w:p w14:paraId="76665681">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L2.</w:t>
            </w: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5</w:t>
            </w: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×B</w:t>
            </w: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1.0</w:t>
            </w: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×H1.5m</w:t>
            </w:r>
          </w:p>
        </w:tc>
        <w:tc>
          <w:tcPr>
            <w:tcW w:w="465" w:type="pct"/>
            <w:vMerge w:val="continue"/>
            <w:tcBorders>
              <w:tl2br w:val="nil"/>
              <w:tr2bl w:val="nil"/>
            </w:tcBorders>
            <w:vAlign w:val="center"/>
          </w:tcPr>
          <w:p w14:paraId="63C52FF8">
            <w:pPr>
              <w:keepNext w:val="0"/>
              <w:keepLines w:val="0"/>
              <w:pageBreakBefore w:val="0"/>
              <w:widowControl/>
              <w:kinsoku/>
              <w:wordWrap/>
              <w:overflowPunct/>
              <w:topLinePunct w:val="0"/>
              <w:autoSpaceDE/>
              <w:autoSpaceDN/>
              <w:bidi w:val="0"/>
              <w:adjustRightInd/>
              <w:snapToGrid/>
              <w:spacing w:line="240" w:lineRule="auto"/>
              <w:jc w:val="center"/>
              <w:rPr>
                <w:highlight w:val="none"/>
              </w:rPr>
            </w:pPr>
          </w:p>
        </w:tc>
        <w:tc>
          <w:tcPr>
            <w:tcW w:w="382" w:type="pct"/>
            <w:tcBorders>
              <w:tl2br w:val="nil"/>
              <w:tr2bl w:val="nil"/>
            </w:tcBorders>
            <w:vAlign w:val="center"/>
          </w:tcPr>
          <w:p w14:paraId="1AAC46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不一致</w:t>
            </w:r>
          </w:p>
        </w:tc>
      </w:tr>
      <w:tr w14:paraId="2CCC5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jc w:val="center"/>
        </w:trPr>
        <w:tc>
          <w:tcPr>
            <w:tcW w:w="325" w:type="pct"/>
            <w:vMerge w:val="restart"/>
            <w:tcBorders>
              <w:top w:val="single" w:color="auto" w:sz="4" w:space="0"/>
            </w:tcBorders>
            <w:vAlign w:val="center"/>
          </w:tcPr>
          <w:p w14:paraId="09F94BE6">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公用</w:t>
            </w:r>
          </w:p>
        </w:tc>
        <w:tc>
          <w:tcPr>
            <w:tcW w:w="267" w:type="pct"/>
            <w:vAlign w:val="center"/>
          </w:tcPr>
          <w:p w14:paraId="2C5BE5A9">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10</w:t>
            </w:r>
          </w:p>
        </w:tc>
        <w:tc>
          <w:tcPr>
            <w:tcW w:w="730" w:type="pct"/>
            <w:vAlign w:val="center"/>
          </w:tcPr>
          <w:p w14:paraId="7E80A575">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纯水制备设备</w:t>
            </w:r>
          </w:p>
        </w:tc>
        <w:tc>
          <w:tcPr>
            <w:tcW w:w="1326" w:type="pct"/>
            <w:gridSpan w:val="2"/>
            <w:vAlign w:val="center"/>
          </w:tcPr>
          <w:p w14:paraId="426B5557">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0.5m</w:t>
            </w:r>
            <w:r>
              <w:rPr>
                <w:rFonts w:hint="default" w:ascii="Times New Roman" w:hAnsi="Times New Roman" w:eastAsia="宋体" w:cs="Times New Roman"/>
                <w:color w:val="000000" w:themeColor="text1"/>
                <w:sz w:val="21"/>
                <w:szCs w:val="21"/>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/h</w:t>
            </w:r>
          </w:p>
        </w:tc>
        <w:tc>
          <w:tcPr>
            <w:tcW w:w="436" w:type="pct"/>
            <w:vAlign w:val="center"/>
          </w:tcPr>
          <w:p w14:paraId="2B25ACDE">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w:t>
            </w:r>
          </w:p>
        </w:tc>
        <w:tc>
          <w:tcPr>
            <w:tcW w:w="392" w:type="pct"/>
            <w:shd w:val="clear" w:color="auto" w:fill="auto"/>
            <w:vAlign w:val="center"/>
          </w:tcPr>
          <w:p w14:paraId="73BBCD5E">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w:t>
            </w:r>
          </w:p>
        </w:tc>
        <w:tc>
          <w:tcPr>
            <w:tcW w:w="1138" w:type="pct"/>
            <w:gridSpan w:val="2"/>
            <w:shd w:val="clear" w:color="auto" w:fill="auto"/>
            <w:vAlign w:val="center"/>
          </w:tcPr>
          <w:p w14:paraId="7A4065AE">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0.5m</w:t>
            </w:r>
            <w:r>
              <w:rPr>
                <w:rFonts w:hint="default" w:ascii="Times New Roman" w:hAnsi="Times New Roman" w:eastAsia="宋体" w:cs="Times New Roman"/>
                <w:color w:val="000000" w:themeColor="text1"/>
                <w:sz w:val="21"/>
                <w:szCs w:val="21"/>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/h</w:t>
            </w:r>
          </w:p>
        </w:tc>
        <w:tc>
          <w:tcPr>
            <w:tcW w:w="382" w:type="pct"/>
            <w:shd w:val="clear" w:color="auto" w:fill="auto"/>
            <w:vAlign w:val="center"/>
          </w:tcPr>
          <w:p w14:paraId="25FC5D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一致</w:t>
            </w:r>
          </w:p>
        </w:tc>
      </w:tr>
      <w:tr w14:paraId="4BFF6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jc w:val="center"/>
        </w:trPr>
        <w:tc>
          <w:tcPr>
            <w:tcW w:w="325" w:type="pct"/>
            <w:vMerge w:val="continue"/>
            <w:vAlign w:val="center"/>
          </w:tcPr>
          <w:p w14:paraId="6E078716">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c>
          <w:tcPr>
            <w:tcW w:w="267" w:type="pct"/>
            <w:vAlign w:val="center"/>
          </w:tcPr>
          <w:p w14:paraId="7ADEE34A">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11</w:t>
            </w:r>
          </w:p>
        </w:tc>
        <w:tc>
          <w:tcPr>
            <w:tcW w:w="730" w:type="pct"/>
            <w:vAlign w:val="center"/>
          </w:tcPr>
          <w:p w14:paraId="3DB8CB5D">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碱液喷淋塔</w:t>
            </w:r>
          </w:p>
        </w:tc>
        <w:tc>
          <w:tcPr>
            <w:tcW w:w="1326" w:type="pct"/>
            <w:gridSpan w:val="2"/>
            <w:vAlign w:val="center"/>
          </w:tcPr>
          <w:p w14:paraId="691A370D">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直径1.2m，高2.5m</w:t>
            </w:r>
          </w:p>
        </w:tc>
        <w:tc>
          <w:tcPr>
            <w:tcW w:w="436" w:type="pct"/>
            <w:vAlign w:val="center"/>
          </w:tcPr>
          <w:p w14:paraId="18605137">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w:t>
            </w:r>
          </w:p>
        </w:tc>
        <w:tc>
          <w:tcPr>
            <w:tcW w:w="392" w:type="pct"/>
            <w:shd w:val="clear" w:color="auto" w:fill="auto"/>
            <w:vAlign w:val="center"/>
          </w:tcPr>
          <w:p w14:paraId="3E741D20">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w:t>
            </w:r>
          </w:p>
        </w:tc>
        <w:tc>
          <w:tcPr>
            <w:tcW w:w="1138" w:type="pct"/>
            <w:gridSpan w:val="2"/>
            <w:shd w:val="clear" w:color="auto" w:fill="auto"/>
            <w:vAlign w:val="center"/>
          </w:tcPr>
          <w:p w14:paraId="4028D305">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直径1.2m，高2.5m</w:t>
            </w:r>
          </w:p>
        </w:tc>
        <w:tc>
          <w:tcPr>
            <w:tcW w:w="382" w:type="pct"/>
            <w:shd w:val="clear" w:color="auto" w:fill="auto"/>
            <w:vAlign w:val="center"/>
          </w:tcPr>
          <w:p w14:paraId="5C5F8F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一致</w:t>
            </w:r>
          </w:p>
        </w:tc>
      </w:tr>
      <w:tr w14:paraId="590E0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jc w:val="center"/>
        </w:trPr>
        <w:tc>
          <w:tcPr>
            <w:tcW w:w="325" w:type="pct"/>
            <w:vMerge w:val="continue"/>
            <w:vAlign w:val="center"/>
          </w:tcPr>
          <w:p w14:paraId="40216B37">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c>
          <w:tcPr>
            <w:tcW w:w="267" w:type="pct"/>
            <w:vAlign w:val="center"/>
          </w:tcPr>
          <w:p w14:paraId="4265B538">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12</w:t>
            </w:r>
          </w:p>
        </w:tc>
        <w:tc>
          <w:tcPr>
            <w:tcW w:w="730" w:type="pct"/>
            <w:vAlign w:val="center"/>
          </w:tcPr>
          <w:p w14:paraId="39ECC342">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自建污水处理站</w:t>
            </w:r>
          </w:p>
        </w:tc>
        <w:tc>
          <w:tcPr>
            <w:tcW w:w="1326" w:type="pct"/>
            <w:gridSpan w:val="2"/>
            <w:vAlign w:val="center"/>
          </w:tcPr>
          <w:p w14:paraId="3496903B">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“调节池酸碱调节+混凝沉淀+高效气浮+超滤+精密过滤+砂滤+超滤+反渗透”的处理工艺，处理能力为5m</w:t>
            </w:r>
            <w:r>
              <w:rPr>
                <w:rFonts w:hint="default" w:ascii="Times New Roman" w:hAnsi="Times New Roman" w:eastAsia="宋体" w:cs="Times New Roman"/>
                <w:color w:val="000000" w:themeColor="text1"/>
                <w:sz w:val="21"/>
                <w:szCs w:val="21"/>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/h</w:t>
            </w:r>
          </w:p>
        </w:tc>
        <w:tc>
          <w:tcPr>
            <w:tcW w:w="436" w:type="pct"/>
            <w:vAlign w:val="center"/>
          </w:tcPr>
          <w:p w14:paraId="7286AB63">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w:t>
            </w:r>
          </w:p>
        </w:tc>
        <w:tc>
          <w:tcPr>
            <w:tcW w:w="392" w:type="pct"/>
            <w:shd w:val="clear" w:color="auto" w:fill="auto"/>
            <w:vAlign w:val="center"/>
          </w:tcPr>
          <w:p w14:paraId="738DE37A">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w:t>
            </w:r>
          </w:p>
        </w:tc>
        <w:tc>
          <w:tcPr>
            <w:tcW w:w="1138" w:type="pct"/>
            <w:gridSpan w:val="2"/>
            <w:shd w:val="clear" w:color="auto" w:fill="auto"/>
            <w:vAlign w:val="center"/>
          </w:tcPr>
          <w:p w14:paraId="6757B333">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“调节池酸碱调节+混凝沉淀+高效气浮+超滤+精密过滤+砂滤+超滤+反渗透”的处理工艺，处理能力为5m</w:t>
            </w:r>
            <w:r>
              <w:rPr>
                <w:rFonts w:hint="default" w:ascii="Times New Roman" w:hAnsi="Times New Roman" w:eastAsia="宋体" w:cs="Times New Roman"/>
                <w:color w:val="000000" w:themeColor="text1"/>
                <w:sz w:val="21"/>
                <w:szCs w:val="21"/>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/h</w:t>
            </w:r>
          </w:p>
        </w:tc>
        <w:tc>
          <w:tcPr>
            <w:tcW w:w="382" w:type="pct"/>
            <w:shd w:val="clear" w:color="auto" w:fill="auto"/>
            <w:vAlign w:val="center"/>
          </w:tcPr>
          <w:p w14:paraId="4DD430E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部分一致，调节池溶剂变小</w:t>
            </w:r>
          </w:p>
        </w:tc>
      </w:tr>
      <w:tr w14:paraId="3B786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jc w:val="center"/>
        </w:trPr>
        <w:tc>
          <w:tcPr>
            <w:tcW w:w="325" w:type="pct"/>
            <w:vMerge w:val="continue"/>
            <w:vAlign w:val="center"/>
          </w:tcPr>
          <w:p w14:paraId="06E2EDFC">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c>
          <w:tcPr>
            <w:tcW w:w="267" w:type="pct"/>
            <w:vAlign w:val="center"/>
          </w:tcPr>
          <w:p w14:paraId="68A3EE57">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13</w:t>
            </w:r>
          </w:p>
        </w:tc>
        <w:tc>
          <w:tcPr>
            <w:tcW w:w="730" w:type="pct"/>
            <w:vAlign w:val="center"/>
          </w:tcPr>
          <w:p w14:paraId="3E83464F">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脉冲布袋除尘器</w:t>
            </w:r>
          </w:p>
        </w:tc>
        <w:tc>
          <w:tcPr>
            <w:tcW w:w="1326" w:type="pct"/>
            <w:gridSpan w:val="2"/>
            <w:vAlign w:val="center"/>
          </w:tcPr>
          <w:p w14:paraId="44CDF17A">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25000m</w:t>
            </w:r>
            <w:r>
              <w:rPr>
                <w:rFonts w:hint="default" w:ascii="Times New Roman" w:hAnsi="Times New Roman" w:eastAsia="宋体" w:cs="Times New Roman"/>
                <w:color w:val="000000" w:themeColor="text1"/>
                <w:sz w:val="21"/>
                <w:szCs w:val="21"/>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/h</w:t>
            </w:r>
          </w:p>
        </w:tc>
        <w:tc>
          <w:tcPr>
            <w:tcW w:w="436" w:type="pct"/>
            <w:vAlign w:val="center"/>
          </w:tcPr>
          <w:p w14:paraId="1C14DC02">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w:t>
            </w:r>
          </w:p>
        </w:tc>
        <w:tc>
          <w:tcPr>
            <w:tcW w:w="392" w:type="pct"/>
            <w:shd w:val="clear" w:color="auto" w:fill="auto"/>
            <w:vAlign w:val="center"/>
          </w:tcPr>
          <w:p w14:paraId="7F1E37BD">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w:t>
            </w:r>
          </w:p>
        </w:tc>
        <w:tc>
          <w:tcPr>
            <w:tcW w:w="1138" w:type="pct"/>
            <w:gridSpan w:val="2"/>
            <w:shd w:val="clear" w:color="auto" w:fill="auto"/>
            <w:vAlign w:val="center"/>
          </w:tcPr>
          <w:p w14:paraId="1BF8B24A">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25000m</w:t>
            </w:r>
            <w:r>
              <w:rPr>
                <w:rFonts w:hint="default" w:ascii="Times New Roman" w:hAnsi="Times New Roman" w:eastAsia="宋体" w:cs="Times New Roman"/>
                <w:color w:val="000000" w:themeColor="text1"/>
                <w:sz w:val="21"/>
                <w:szCs w:val="21"/>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/h</w:t>
            </w:r>
          </w:p>
        </w:tc>
        <w:tc>
          <w:tcPr>
            <w:tcW w:w="382" w:type="pct"/>
            <w:shd w:val="clear" w:color="auto" w:fill="auto"/>
            <w:vAlign w:val="center"/>
          </w:tcPr>
          <w:p w14:paraId="65EB08A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一致</w:t>
            </w:r>
          </w:p>
        </w:tc>
      </w:tr>
      <w:tr w14:paraId="36860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jc w:val="center"/>
        </w:trPr>
        <w:tc>
          <w:tcPr>
            <w:tcW w:w="325" w:type="pct"/>
            <w:vMerge w:val="continue"/>
            <w:vAlign w:val="center"/>
          </w:tcPr>
          <w:p w14:paraId="13002032">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c>
          <w:tcPr>
            <w:tcW w:w="267" w:type="pct"/>
            <w:vAlign w:val="center"/>
          </w:tcPr>
          <w:p w14:paraId="2173032C">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14</w:t>
            </w:r>
          </w:p>
        </w:tc>
        <w:tc>
          <w:tcPr>
            <w:tcW w:w="730" w:type="pct"/>
            <w:vAlign w:val="center"/>
          </w:tcPr>
          <w:p w14:paraId="77622ABE">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碱液喷淋塔</w:t>
            </w:r>
          </w:p>
        </w:tc>
        <w:tc>
          <w:tcPr>
            <w:tcW w:w="1326" w:type="pct"/>
            <w:gridSpan w:val="2"/>
            <w:vAlign w:val="center"/>
          </w:tcPr>
          <w:p w14:paraId="052A133A">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1010m</w:t>
            </w:r>
            <w:r>
              <w:rPr>
                <w:rFonts w:hint="default" w:ascii="Times New Roman" w:hAnsi="Times New Roman" w:eastAsia="宋体" w:cs="Times New Roman"/>
                <w:color w:val="000000" w:themeColor="text1"/>
                <w:sz w:val="21"/>
                <w:szCs w:val="21"/>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/h</w:t>
            </w:r>
          </w:p>
        </w:tc>
        <w:tc>
          <w:tcPr>
            <w:tcW w:w="436" w:type="pct"/>
            <w:vAlign w:val="center"/>
          </w:tcPr>
          <w:p w14:paraId="335023AA">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w:t>
            </w:r>
          </w:p>
        </w:tc>
        <w:tc>
          <w:tcPr>
            <w:tcW w:w="392" w:type="pct"/>
            <w:shd w:val="clear" w:color="auto" w:fill="auto"/>
            <w:vAlign w:val="center"/>
          </w:tcPr>
          <w:p w14:paraId="628B284A">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w:t>
            </w:r>
          </w:p>
        </w:tc>
        <w:tc>
          <w:tcPr>
            <w:tcW w:w="1138" w:type="pct"/>
            <w:gridSpan w:val="2"/>
            <w:shd w:val="clear" w:color="auto" w:fill="auto"/>
            <w:vAlign w:val="center"/>
          </w:tcPr>
          <w:p w14:paraId="20F6B890">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1010m</w:t>
            </w:r>
            <w:r>
              <w:rPr>
                <w:rFonts w:hint="default" w:ascii="Times New Roman" w:hAnsi="Times New Roman" w:eastAsia="宋体" w:cs="Times New Roman"/>
                <w:color w:val="000000" w:themeColor="text1"/>
                <w:sz w:val="21"/>
                <w:szCs w:val="21"/>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/h</w:t>
            </w:r>
          </w:p>
        </w:tc>
        <w:tc>
          <w:tcPr>
            <w:tcW w:w="382" w:type="pct"/>
            <w:shd w:val="clear" w:color="auto" w:fill="auto"/>
            <w:vAlign w:val="center"/>
          </w:tcPr>
          <w:p w14:paraId="0C12FD8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一致</w:t>
            </w:r>
          </w:p>
        </w:tc>
      </w:tr>
      <w:tr w14:paraId="49982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jc w:val="center"/>
        </w:trPr>
        <w:tc>
          <w:tcPr>
            <w:tcW w:w="325" w:type="pct"/>
            <w:vMerge w:val="continue"/>
            <w:vAlign w:val="center"/>
          </w:tcPr>
          <w:p w14:paraId="28263E70">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c>
          <w:tcPr>
            <w:tcW w:w="267" w:type="pct"/>
            <w:vAlign w:val="center"/>
          </w:tcPr>
          <w:p w14:paraId="12B2E5AE">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15</w:t>
            </w:r>
          </w:p>
        </w:tc>
        <w:tc>
          <w:tcPr>
            <w:tcW w:w="730" w:type="pct"/>
            <w:vAlign w:val="center"/>
          </w:tcPr>
          <w:p w14:paraId="5E823C00">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空压机</w:t>
            </w:r>
          </w:p>
        </w:tc>
        <w:tc>
          <w:tcPr>
            <w:tcW w:w="1326" w:type="pct"/>
            <w:gridSpan w:val="2"/>
            <w:vAlign w:val="center"/>
          </w:tcPr>
          <w:p w14:paraId="35C6FD6B">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w:t>
            </w:r>
          </w:p>
        </w:tc>
        <w:tc>
          <w:tcPr>
            <w:tcW w:w="436" w:type="pct"/>
            <w:vAlign w:val="center"/>
          </w:tcPr>
          <w:p w14:paraId="7BAB65EE">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w:t>
            </w:r>
          </w:p>
        </w:tc>
        <w:tc>
          <w:tcPr>
            <w:tcW w:w="392" w:type="pct"/>
            <w:shd w:val="clear" w:color="auto" w:fill="auto"/>
            <w:vAlign w:val="center"/>
          </w:tcPr>
          <w:p w14:paraId="78BB868D">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w:t>
            </w:r>
          </w:p>
        </w:tc>
        <w:tc>
          <w:tcPr>
            <w:tcW w:w="1138" w:type="pct"/>
            <w:gridSpan w:val="2"/>
            <w:shd w:val="clear" w:color="auto" w:fill="auto"/>
            <w:vAlign w:val="center"/>
          </w:tcPr>
          <w:p w14:paraId="04756FCC">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w:t>
            </w:r>
          </w:p>
        </w:tc>
        <w:tc>
          <w:tcPr>
            <w:tcW w:w="382" w:type="pct"/>
            <w:shd w:val="clear" w:color="auto" w:fill="auto"/>
            <w:vAlign w:val="center"/>
          </w:tcPr>
          <w:p w14:paraId="465681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Cs/>
                <w:snapToGrid w:val="0"/>
                <w:color w:val="000000" w:themeColor="text1"/>
                <w:kern w:val="0"/>
                <w:sz w:val="21"/>
                <w:szCs w:val="21"/>
                <w:highlight w:val="none"/>
                <w:lang w:val="en-US" w:eastAsia="zh-CN"/>
                <w14:textFill>
                  <w14:solidFill>
                    <w14:schemeClr w14:val="tx1"/>
                  </w14:solidFill>
                </w14:textFill>
              </w:rPr>
              <w:t>一致</w:t>
            </w:r>
          </w:p>
        </w:tc>
      </w:tr>
    </w:tbl>
    <w:p w14:paraId="774C3AF9">
      <w:pPr>
        <w:pStyle w:val="5"/>
        <w:keepNext/>
        <w:keepLines/>
        <w:pageBreakBefore w:val="0"/>
        <w:widowControl w:val="0"/>
        <w:kinsoku/>
        <w:wordWrap/>
        <w:overflowPunct/>
        <w:topLinePunct w:val="0"/>
        <w:autoSpaceDE/>
        <w:autoSpaceDN/>
        <w:bidi w:val="0"/>
        <w:adjustRightInd/>
        <w:snapToGrid/>
        <w:spacing w:before="0" w:after="0" w:line="480" w:lineRule="exact"/>
        <w:textAlignment w:val="auto"/>
        <w:rPr>
          <w:rFonts w:cs="Times New Roman"/>
          <w:color w:val="000000" w:themeColor="text1"/>
          <w:highlight w:val="none"/>
          <w14:textFill>
            <w14:solidFill>
              <w14:schemeClr w14:val="tx1"/>
            </w14:solidFill>
          </w14:textFill>
        </w:rPr>
      </w:pPr>
      <w:bookmarkStart w:id="10" w:name="_Toc15264"/>
      <w:r>
        <w:rPr>
          <w:rFonts w:cs="Times New Roman"/>
          <w:color w:val="000000" w:themeColor="text1"/>
          <w:highlight w:val="none"/>
          <w14:textFill>
            <w14:solidFill>
              <w14:schemeClr w14:val="tx1"/>
            </w14:solidFill>
          </w14:textFill>
        </w:rPr>
        <w:t>3.3</w:t>
      </w:r>
      <w:r>
        <w:rPr>
          <w:rFonts w:hint="eastAsia" w:ascii="宋体" w:hAnsi="宋体" w:eastAsia="宋体" w:cs="宋体"/>
          <w:color w:val="000000" w:themeColor="text1"/>
          <w:highlight w:val="none"/>
          <w14:textFill>
            <w14:solidFill>
              <w14:schemeClr w14:val="tx1"/>
            </w14:solidFill>
          </w14:textFill>
        </w:rPr>
        <w:t>主要原辅材料及燃料</w:t>
      </w:r>
      <w:bookmarkEnd w:id="10"/>
    </w:p>
    <w:p w14:paraId="3A434C9E">
      <w:pPr>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项目</w:t>
      </w:r>
      <w:r>
        <w:rPr>
          <w:rFonts w:hint="eastAsia" w:ascii="Times New Roman" w:hAnsi="Times New Roman" w:eastAsia="宋体"/>
          <w:color w:val="auto"/>
          <w:sz w:val="24"/>
          <w:szCs w:val="24"/>
          <w:highlight w:val="none"/>
          <w:lang w:val="en-US" w:eastAsia="zh-CN"/>
        </w:rPr>
        <w:t>建成后全厂</w:t>
      </w:r>
      <w:r>
        <w:rPr>
          <w:rFonts w:ascii="Times New Roman" w:hAnsi="Times New Roman" w:eastAsia="宋体"/>
          <w:color w:val="auto"/>
          <w:sz w:val="24"/>
          <w:szCs w:val="24"/>
          <w:highlight w:val="none"/>
        </w:rPr>
        <w:t>原辅材料及能源消耗见表</w:t>
      </w:r>
      <w:r>
        <w:rPr>
          <w:rFonts w:hint="eastAsia" w:ascii="Times New Roman" w:hAnsi="Times New Roman" w:eastAsia="宋体"/>
          <w:color w:val="auto"/>
          <w:sz w:val="24"/>
          <w:szCs w:val="24"/>
          <w:highlight w:val="none"/>
        </w:rPr>
        <w:t>3-</w:t>
      </w:r>
      <w:r>
        <w:rPr>
          <w:rFonts w:hint="eastAsia" w:ascii="Times New Roman" w:hAnsi="Times New Roman" w:eastAsia="宋体"/>
          <w:color w:val="auto"/>
          <w:sz w:val="24"/>
          <w:szCs w:val="24"/>
          <w:highlight w:val="none"/>
          <w:lang w:val="en-US" w:eastAsia="zh-CN"/>
        </w:rPr>
        <w:t>4</w:t>
      </w:r>
      <w:r>
        <w:rPr>
          <w:rFonts w:ascii="Times New Roman" w:hAnsi="Times New Roman" w:eastAsia="宋体"/>
          <w:color w:val="auto"/>
          <w:sz w:val="24"/>
          <w:szCs w:val="24"/>
          <w:highlight w:val="none"/>
        </w:rPr>
        <w:t>。</w:t>
      </w:r>
    </w:p>
    <w:p w14:paraId="7A363C9F">
      <w:pPr>
        <w:keepNext w:val="0"/>
        <w:keepLines w:val="0"/>
        <w:pageBreakBefore w:val="0"/>
        <w:widowControl w:val="0"/>
        <w:kinsoku/>
        <w:wordWrap/>
        <w:overflowPunct/>
        <w:topLinePunct w:val="0"/>
        <w:autoSpaceDE/>
        <w:autoSpaceDN/>
        <w:bidi w:val="0"/>
        <w:adjustRightInd w:val="0"/>
        <w:snapToGrid w:val="0"/>
        <w:spacing w:line="480" w:lineRule="exact"/>
        <w:jc w:val="center"/>
        <w:textAlignment w:val="auto"/>
        <w:rPr>
          <w:rFonts w:ascii="Times New Roman" w:hAnsi="Times New Roman" w:eastAsiaTheme="minorEastAsia"/>
          <w:b/>
          <w:color w:val="auto"/>
          <w:sz w:val="24"/>
          <w:szCs w:val="24"/>
          <w:highlight w:val="none"/>
        </w:rPr>
      </w:pPr>
      <w:r>
        <w:rPr>
          <w:rFonts w:ascii="Times New Roman" w:hAnsi="Times New Roman" w:eastAsiaTheme="minorEastAsia"/>
          <w:b/>
          <w:color w:val="auto"/>
          <w:sz w:val="24"/>
          <w:szCs w:val="24"/>
          <w:highlight w:val="none"/>
        </w:rPr>
        <w:t>表</w:t>
      </w:r>
      <w:r>
        <w:rPr>
          <w:rFonts w:hint="eastAsia" w:ascii="Times New Roman" w:hAnsi="Times New Roman" w:eastAsiaTheme="minorEastAsia"/>
          <w:b/>
          <w:color w:val="auto"/>
          <w:sz w:val="24"/>
          <w:szCs w:val="24"/>
          <w:highlight w:val="none"/>
        </w:rPr>
        <w:t>3-</w:t>
      </w:r>
      <w:r>
        <w:rPr>
          <w:rFonts w:hint="eastAsia" w:ascii="Times New Roman" w:hAnsi="Times New Roman" w:eastAsiaTheme="minorEastAsia"/>
          <w:b/>
          <w:color w:val="auto"/>
          <w:sz w:val="24"/>
          <w:szCs w:val="24"/>
          <w:highlight w:val="none"/>
          <w:lang w:val="en-US" w:eastAsia="zh-CN"/>
        </w:rPr>
        <w:t>4</w:t>
      </w:r>
      <w:r>
        <w:rPr>
          <w:rFonts w:ascii="Times New Roman" w:hAnsi="Times New Roman" w:eastAsiaTheme="minorEastAsia"/>
          <w:b/>
          <w:color w:val="auto"/>
          <w:sz w:val="24"/>
          <w:szCs w:val="24"/>
          <w:highlight w:val="none"/>
        </w:rPr>
        <w:t>主要原辅材料及能源消耗一览表</w:t>
      </w:r>
    </w:p>
    <w:tbl>
      <w:tblPr>
        <w:tblStyle w:val="32"/>
        <w:tblW w:w="53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0" w:type="dxa"/>
          <w:bottom w:w="0" w:type="dxa"/>
          <w:right w:w="0" w:type="dxa"/>
        </w:tblCellMar>
      </w:tblPr>
      <w:tblGrid>
        <w:gridCol w:w="601"/>
        <w:gridCol w:w="1487"/>
        <w:gridCol w:w="2661"/>
        <w:gridCol w:w="1612"/>
        <w:gridCol w:w="791"/>
        <w:gridCol w:w="1664"/>
      </w:tblGrid>
      <w:tr w14:paraId="62982A0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340" w:type="pct"/>
            <w:tcBorders>
              <w:tl2br w:val="nil"/>
              <w:tr2bl w:val="nil"/>
            </w:tcBorders>
            <w:shd w:val="clear" w:color="auto" w:fill="auto"/>
            <w:vAlign w:val="center"/>
          </w:tcPr>
          <w:p w14:paraId="7B434037">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bookmarkStart w:id="11" w:name="_Toc1912"/>
            <w:r>
              <w:rPr>
                <w:rFonts w:hint="default" w:ascii="Times New Roman" w:hAnsi="Times New Roman" w:eastAsia="宋体" w:cs="Times New Roman"/>
                <w:i w:val="0"/>
                <w:iCs w:val="0"/>
                <w:color w:val="000000"/>
                <w:kern w:val="0"/>
                <w:sz w:val="21"/>
                <w:szCs w:val="21"/>
                <w:highlight w:val="none"/>
                <w:u w:val="none"/>
                <w:lang w:val="en-US" w:eastAsia="zh-CN" w:bidi="ar"/>
              </w:rPr>
              <w:t>序号</w:t>
            </w:r>
          </w:p>
        </w:tc>
        <w:tc>
          <w:tcPr>
            <w:tcW w:w="843" w:type="pct"/>
            <w:tcBorders>
              <w:tl2br w:val="nil"/>
              <w:tr2bl w:val="nil"/>
            </w:tcBorders>
            <w:shd w:val="clear" w:color="auto" w:fill="auto"/>
            <w:vAlign w:val="center"/>
          </w:tcPr>
          <w:p w14:paraId="4814D510">
            <w:pPr>
              <w:keepNext w:val="0"/>
              <w:keepLines w:val="0"/>
              <w:pageBreakBefore w:val="0"/>
              <w:widowControl/>
              <w:kinsoku/>
              <w:wordWrap/>
              <w:overflowPunct/>
              <w:topLinePunct w:val="0"/>
              <w:bidi w:val="0"/>
              <w:snapToGrid/>
              <w:spacing w:line="240" w:lineRule="auto"/>
              <w:jc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color w:val="000000" w:themeColor="text1"/>
                <w:sz w:val="21"/>
                <w:szCs w:val="21"/>
                <w:highlight w:val="none"/>
                <w14:textFill>
                  <w14:solidFill>
                    <w14:schemeClr w14:val="tx1"/>
                  </w14:solidFill>
                </w14:textFill>
              </w:rPr>
              <w:t>物料名</w:t>
            </w:r>
          </w:p>
        </w:tc>
        <w:tc>
          <w:tcPr>
            <w:tcW w:w="1509" w:type="pct"/>
            <w:tcBorders>
              <w:tl2br w:val="nil"/>
              <w:tr2bl w:val="nil"/>
            </w:tcBorders>
            <w:shd w:val="clear" w:color="auto" w:fill="auto"/>
            <w:vAlign w:val="center"/>
          </w:tcPr>
          <w:p w14:paraId="61CDCB12">
            <w:pPr>
              <w:keepNext w:val="0"/>
              <w:keepLines w:val="0"/>
              <w:pageBreakBefore w:val="0"/>
              <w:widowControl/>
              <w:kinsoku/>
              <w:wordWrap/>
              <w:overflowPunct/>
              <w:topLinePunct w:val="0"/>
              <w:bidi w:val="0"/>
              <w:snapToGrid/>
              <w:spacing w:line="240" w:lineRule="auto"/>
              <w:jc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主要成分</w:t>
            </w:r>
          </w:p>
        </w:tc>
        <w:tc>
          <w:tcPr>
            <w:tcW w:w="914" w:type="pct"/>
            <w:tcBorders>
              <w:tl2br w:val="nil"/>
              <w:tr2bl w:val="nil"/>
            </w:tcBorders>
            <w:shd w:val="clear" w:color="auto" w:fill="auto"/>
            <w:vAlign w:val="center"/>
          </w:tcPr>
          <w:p w14:paraId="3991E670">
            <w:pPr>
              <w:keepNext w:val="0"/>
              <w:keepLines w:val="0"/>
              <w:pageBreakBefore w:val="0"/>
              <w:widowControl/>
              <w:kinsoku/>
              <w:wordWrap/>
              <w:overflowPunct/>
              <w:topLinePunct w:val="0"/>
              <w:bidi w:val="0"/>
              <w:snapToGrid/>
              <w:spacing w:line="240" w:lineRule="auto"/>
              <w:jc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年耗量</w:t>
            </w:r>
          </w:p>
        </w:tc>
        <w:tc>
          <w:tcPr>
            <w:tcW w:w="448" w:type="pct"/>
            <w:tcBorders>
              <w:tl2br w:val="nil"/>
              <w:tr2bl w:val="nil"/>
            </w:tcBorders>
            <w:shd w:val="clear" w:color="auto" w:fill="auto"/>
            <w:vAlign w:val="center"/>
          </w:tcPr>
          <w:p w14:paraId="61622010">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备注</w:t>
            </w:r>
          </w:p>
        </w:tc>
        <w:tc>
          <w:tcPr>
            <w:tcW w:w="943" w:type="pct"/>
            <w:tcBorders>
              <w:tl2br w:val="nil"/>
              <w:tr2bl w:val="nil"/>
            </w:tcBorders>
            <w:shd w:val="clear" w:color="auto" w:fill="auto"/>
            <w:vAlign w:val="center"/>
          </w:tcPr>
          <w:p w14:paraId="1E7848AC">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一致性分析</w:t>
            </w:r>
          </w:p>
        </w:tc>
      </w:tr>
      <w:tr w14:paraId="374F6B9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340" w:type="pct"/>
            <w:tcBorders>
              <w:tl2br w:val="nil"/>
              <w:tr2bl w:val="nil"/>
            </w:tcBorders>
            <w:shd w:val="clear" w:color="auto" w:fill="auto"/>
            <w:vAlign w:val="center"/>
          </w:tcPr>
          <w:p w14:paraId="13D6F849">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w:t>
            </w:r>
          </w:p>
        </w:tc>
        <w:tc>
          <w:tcPr>
            <w:tcW w:w="843" w:type="pct"/>
            <w:tcBorders>
              <w:tl2br w:val="nil"/>
              <w:tr2bl w:val="nil"/>
            </w:tcBorders>
            <w:shd w:val="clear" w:color="auto" w:fill="auto"/>
            <w:vAlign w:val="center"/>
          </w:tcPr>
          <w:p w14:paraId="2BC7FB69">
            <w:pPr>
              <w:keepNext w:val="0"/>
              <w:keepLines w:val="0"/>
              <w:pageBreakBefore w:val="0"/>
              <w:widowControl/>
              <w:kinsoku/>
              <w:wordWrap/>
              <w:overflowPunct/>
              <w:topLinePunct w:val="0"/>
              <w:bidi w:val="0"/>
              <w:snapToGrid/>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机壳</w:t>
            </w:r>
          </w:p>
        </w:tc>
        <w:tc>
          <w:tcPr>
            <w:tcW w:w="1509" w:type="pct"/>
            <w:tcBorders>
              <w:tl2br w:val="nil"/>
              <w:tr2bl w:val="nil"/>
            </w:tcBorders>
            <w:shd w:val="clear" w:color="auto" w:fill="auto"/>
            <w:vAlign w:val="center"/>
          </w:tcPr>
          <w:p w14:paraId="3476AD36">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铝件</w:t>
            </w:r>
          </w:p>
        </w:tc>
        <w:tc>
          <w:tcPr>
            <w:tcW w:w="914" w:type="pct"/>
            <w:tcBorders>
              <w:tl2br w:val="nil"/>
              <w:tr2bl w:val="nil"/>
            </w:tcBorders>
            <w:shd w:val="clear" w:color="auto" w:fill="auto"/>
            <w:vAlign w:val="center"/>
          </w:tcPr>
          <w:p w14:paraId="4BE99C4B">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5000件/a</w:t>
            </w:r>
          </w:p>
        </w:tc>
        <w:tc>
          <w:tcPr>
            <w:tcW w:w="448" w:type="pct"/>
            <w:vMerge w:val="restart"/>
            <w:tcBorders>
              <w:tl2br w:val="nil"/>
              <w:tr2bl w:val="nil"/>
            </w:tcBorders>
            <w:shd w:val="clear" w:color="auto" w:fill="auto"/>
            <w:vAlign w:val="center"/>
          </w:tcPr>
          <w:p w14:paraId="6C3EB130">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原料库堆放</w:t>
            </w:r>
          </w:p>
        </w:tc>
        <w:tc>
          <w:tcPr>
            <w:tcW w:w="943" w:type="pct"/>
            <w:vMerge w:val="restart"/>
            <w:tcBorders>
              <w:tl2br w:val="nil"/>
              <w:tr2bl w:val="nil"/>
            </w:tcBorders>
            <w:vAlign w:val="center"/>
          </w:tcPr>
          <w:p w14:paraId="26B73DD6">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一致</w:t>
            </w:r>
          </w:p>
        </w:tc>
      </w:tr>
      <w:tr w14:paraId="4B05F92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340" w:type="pct"/>
            <w:tcBorders>
              <w:tl2br w:val="nil"/>
              <w:tr2bl w:val="nil"/>
            </w:tcBorders>
            <w:shd w:val="clear" w:color="auto" w:fill="auto"/>
            <w:vAlign w:val="center"/>
          </w:tcPr>
          <w:p w14:paraId="65165301">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2</w:t>
            </w:r>
          </w:p>
        </w:tc>
        <w:tc>
          <w:tcPr>
            <w:tcW w:w="843" w:type="pct"/>
            <w:tcBorders>
              <w:tl2br w:val="nil"/>
              <w:tr2bl w:val="nil"/>
            </w:tcBorders>
            <w:shd w:val="clear" w:color="auto" w:fill="auto"/>
            <w:vAlign w:val="center"/>
          </w:tcPr>
          <w:p w14:paraId="27F3F13F">
            <w:pPr>
              <w:keepNext w:val="0"/>
              <w:keepLines w:val="0"/>
              <w:pageBreakBefore w:val="0"/>
              <w:widowControl/>
              <w:kinsoku/>
              <w:wordWrap/>
              <w:overflowPunct/>
              <w:topLinePunct w:val="0"/>
              <w:bidi w:val="0"/>
              <w:snapToGrid/>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刀罩</w:t>
            </w:r>
          </w:p>
        </w:tc>
        <w:tc>
          <w:tcPr>
            <w:tcW w:w="1509" w:type="pct"/>
            <w:tcBorders>
              <w:tl2br w:val="nil"/>
              <w:tr2bl w:val="nil"/>
            </w:tcBorders>
            <w:shd w:val="clear" w:color="auto" w:fill="auto"/>
            <w:vAlign w:val="center"/>
          </w:tcPr>
          <w:p w14:paraId="0AF1140C">
            <w:pPr>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铝件</w:t>
            </w:r>
          </w:p>
        </w:tc>
        <w:tc>
          <w:tcPr>
            <w:tcW w:w="914" w:type="pct"/>
            <w:tcBorders>
              <w:tl2br w:val="nil"/>
              <w:tr2bl w:val="nil"/>
            </w:tcBorders>
            <w:shd w:val="clear" w:color="auto" w:fill="auto"/>
            <w:vAlign w:val="center"/>
          </w:tcPr>
          <w:p w14:paraId="19CCD833">
            <w:pPr>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5000件/a</w:t>
            </w:r>
          </w:p>
        </w:tc>
        <w:tc>
          <w:tcPr>
            <w:tcW w:w="448" w:type="pct"/>
            <w:vMerge w:val="continue"/>
            <w:tcBorders>
              <w:tl2br w:val="nil"/>
              <w:tr2bl w:val="nil"/>
            </w:tcBorders>
            <w:shd w:val="clear" w:color="auto" w:fill="auto"/>
            <w:vAlign w:val="center"/>
          </w:tcPr>
          <w:p w14:paraId="5DCCCBF7">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943" w:type="pct"/>
            <w:vMerge w:val="continue"/>
            <w:tcBorders>
              <w:tl2br w:val="nil"/>
              <w:tr2bl w:val="nil"/>
            </w:tcBorders>
            <w:shd w:val="clear" w:color="auto" w:fill="auto"/>
            <w:vAlign w:val="center"/>
          </w:tcPr>
          <w:p w14:paraId="7E502B02">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14:paraId="1EC259D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340" w:type="pct"/>
            <w:tcBorders>
              <w:tl2br w:val="nil"/>
              <w:tr2bl w:val="nil"/>
            </w:tcBorders>
            <w:shd w:val="clear" w:color="auto" w:fill="auto"/>
            <w:vAlign w:val="center"/>
          </w:tcPr>
          <w:p w14:paraId="5FA57370">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3</w:t>
            </w:r>
          </w:p>
        </w:tc>
        <w:tc>
          <w:tcPr>
            <w:tcW w:w="843" w:type="pct"/>
            <w:tcBorders>
              <w:tl2br w:val="nil"/>
              <w:tr2bl w:val="nil"/>
            </w:tcBorders>
            <w:shd w:val="clear" w:color="auto" w:fill="auto"/>
            <w:vAlign w:val="center"/>
          </w:tcPr>
          <w:p w14:paraId="77872602">
            <w:pPr>
              <w:keepNext w:val="0"/>
              <w:keepLines w:val="0"/>
              <w:pageBreakBefore w:val="0"/>
              <w:widowControl/>
              <w:kinsoku/>
              <w:wordWrap/>
              <w:overflowPunct/>
              <w:topLinePunct w:val="0"/>
              <w:bidi w:val="0"/>
              <w:snapToGrid/>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调厚板</w:t>
            </w:r>
          </w:p>
        </w:tc>
        <w:tc>
          <w:tcPr>
            <w:tcW w:w="1509" w:type="pct"/>
            <w:tcBorders>
              <w:tl2br w:val="nil"/>
              <w:tr2bl w:val="nil"/>
            </w:tcBorders>
            <w:shd w:val="clear" w:color="auto" w:fill="auto"/>
            <w:vAlign w:val="center"/>
          </w:tcPr>
          <w:p w14:paraId="3DE4F397">
            <w:pPr>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铝件</w:t>
            </w:r>
          </w:p>
        </w:tc>
        <w:tc>
          <w:tcPr>
            <w:tcW w:w="914" w:type="pct"/>
            <w:tcBorders>
              <w:tl2br w:val="nil"/>
              <w:tr2bl w:val="nil"/>
            </w:tcBorders>
            <w:shd w:val="clear" w:color="auto" w:fill="auto"/>
            <w:vAlign w:val="center"/>
          </w:tcPr>
          <w:p w14:paraId="12404CCE">
            <w:pPr>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5000件/a</w:t>
            </w:r>
          </w:p>
        </w:tc>
        <w:tc>
          <w:tcPr>
            <w:tcW w:w="448" w:type="pct"/>
            <w:vMerge w:val="continue"/>
            <w:tcBorders>
              <w:tl2br w:val="nil"/>
              <w:tr2bl w:val="nil"/>
            </w:tcBorders>
            <w:shd w:val="clear" w:color="auto" w:fill="auto"/>
            <w:vAlign w:val="center"/>
          </w:tcPr>
          <w:p w14:paraId="594A17C6">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943" w:type="pct"/>
            <w:vMerge w:val="continue"/>
            <w:tcBorders>
              <w:tl2br w:val="nil"/>
              <w:tr2bl w:val="nil"/>
            </w:tcBorders>
            <w:shd w:val="clear" w:color="auto" w:fill="auto"/>
            <w:vAlign w:val="center"/>
          </w:tcPr>
          <w:p w14:paraId="09ECCB0B">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14:paraId="551705B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340" w:type="pct"/>
            <w:tcBorders>
              <w:tl2br w:val="nil"/>
              <w:tr2bl w:val="nil"/>
            </w:tcBorders>
            <w:shd w:val="clear" w:color="auto" w:fill="auto"/>
            <w:vAlign w:val="center"/>
          </w:tcPr>
          <w:p w14:paraId="13DF4FFD">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4</w:t>
            </w:r>
          </w:p>
        </w:tc>
        <w:tc>
          <w:tcPr>
            <w:tcW w:w="843" w:type="pct"/>
            <w:tcBorders>
              <w:tl2br w:val="nil"/>
              <w:tr2bl w:val="nil"/>
            </w:tcBorders>
            <w:shd w:val="clear" w:color="auto" w:fill="auto"/>
            <w:vAlign w:val="center"/>
          </w:tcPr>
          <w:p w14:paraId="61CEA7AA">
            <w:pPr>
              <w:keepNext w:val="0"/>
              <w:keepLines w:val="0"/>
              <w:pageBreakBefore w:val="0"/>
              <w:widowControl/>
              <w:kinsoku/>
              <w:wordWrap/>
              <w:overflowPunct/>
              <w:topLinePunct w:val="0"/>
              <w:bidi w:val="0"/>
              <w:snapToGrid/>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弯臂</w:t>
            </w:r>
          </w:p>
        </w:tc>
        <w:tc>
          <w:tcPr>
            <w:tcW w:w="1509" w:type="pct"/>
            <w:tcBorders>
              <w:tl2br w:val="nil"/>
              <w:tr2bl w:val="nil"/>
            </w:tcBorders>
            <w:shd w:val="clear" w:color="auto" w:fill="auto"/>
            <w:vAlign w:val="center"/>
          </w:tcPr>
          <w:p w14:paraId="3E5EB744">
            <w:pPr>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铝件</w:t>
            </w:r>
          </w:p>
        </w:tc>
        <w:tc>
          <w:tcPr>
            <w:tcW w:w="914" w:type="pct"/>
            <w:tcBorders>
              <w:tl2br w:val="nil"/>
              <w:tr2bl w:val="nil"/>
            </w:tcBorders>
            <w:shd w:val="clear" w:color="auto" w:fill="auto"/>
            <w:vAlign w:val="center"/>
          </w:tcPr>
          <w:p w14:paraId="2FA26954">
            <w:pPr>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5000件/a</w:t>
            </w:r>
          </w:p>
        </w:tc>
        <w:tc>
          <w:tcPr>
            <w:tcW w:w="448" w:type="pct"/>
            <w:vMerge w:val="continue"/>
            <w:tcBorders>
              <w:tl2br w:val="nil"/>
              <w:tr2bl w:val="nil"/>
            </w:tcBorders>
            <w:shd w:val="clear" w:color="auto" w:fill="auto"/>
            <w:vAlign w:val="center"/>
          </w:tcPr>
          <w:p w14:paraId="7D854C13">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943" w:type="pct"/>
            <w:vMerge w:val="continue"/>
            <w:tcBorders>
              <w:tl2br w:val="nil"/>
              <w:tr2bl w:val="nil"/>
            </w:tcBorders>
            <w:shd w:val="clear" w:color="auto" w:fill="auto"/>
            <w:vAlign w:val="center"/>
          </w:tcPr>
          <w:p w14:paraId="7A6203E6">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14:paraId="7E1E9ED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340" w:type="pct"/>
            <w:tcBorders>
              <w:tl2br w:val="nil"/>
              <w:tr2bl w:val="nil"/>
            </w:tcBorders>
            <w:shd w:val="clear" w:color="auto" w:fill="auto"/>
            <w:vAlign w:val="center"/>
          </w:tcPr>
          <w:p w14:paraId="788F67DB">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5</w:t>
            </w:r>
          </w:p>
        </w:tc>
        <w:tc>
          <w:tcPr>
            <w:tcW w:w="843" w:type="pct"/>
            <w:tcBorders>
              <w:tl2br w:val="nil"/>
              <w:tr2bl w:val="nil"/>
            </w:tcBorders>
            <w:shd w:val="clear" w:color="auto" w:fill="auto"/>
            <w:vAlign w:val="center"/>
          </w:tcPr>
          <w:p w14:paraId="3F8FAFCD">
            <w:pPr>
              <w:keepNext w:val="0"/>
              <w:keepLines w:val="0"/>
              <w:pageBreakBefore w:val="0"/>
              <w:widowControl/>
              <w:kinsoku/>
              <w:wordWrap/>
              <w:overflowPunct/>
              <w:topLinePunct w:val="0"/>
              <w:bidi w:val="0"/>
              <w:snapToGrid/>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上支架</w:t>
            </w:r>
          </w:p>
        </w:tc>
        <w:tc>
          <w:tcPr>
            <w:tcW w:w="1509" w:type="pct"/>
            <w:tcBorders>
              <w:tl2br w:val="nil"/>
              <w:tr2bl w:val="nil"/>
            </w:tcBorders>
            <w:shd w:val="clear" w:color="auto" w:fill="auto"/>
            <w:vAlign w:val="center"/>
          </w:tcPr>
          <w:p w14:paraId="6117252A">
            <w:pPr>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铝件</w:t>
            </w:r>
          </w:p>
        </w:tc>
        <w:tc>
          <w:tcPr>
            <w:tcW w:w="914" w:type="pct"/>
            <w:tcBorders>
              <w:tl2br w:val="nil"/>
              <w:tr2bl w:val="nil"/>
            </w:tcBorders>
            <w:shd w:val="clear" w:color="auto" w:fill="auto"/>
            <w:vAlign w:val="center"/>
          </w:tcPr>
          <w:p w14:paraId="7E1BA27B">
            <w:pPr>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5000件/a</w:t>
            </w:r>
          </w:p>
        </w:tc>
        <w:tc>
          <w:tcPr>
            <w:tcW w:w="448" w:type="pct"/>
            <w:vMerge w:val="continue"/>
            <w:tcBorders>
              <w:tl2br w:val="nil"/>
              <w:tr2bl w:val="nil"/>
            </w:tcBorders>
            <w:shd w:val="clear" w:color="auto" w:fill="auto"/>
            <w:vAlign w:val="center"/>
          </w:tcPr>
          <w:p w14:paraId="51249968">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943" w:type="pct"/>
            <w:vMerge w:val="continue"/>
            <w:tcBorders>
              <w:tl2br w:val="nil"/>
              <w:tr2bl w:val="nil"/>
            </w:tcBorders>
            <w:shd w:val="clear" w:color="auto" w:fill="auto"/>
            <w:vAlign w:val="center"/>
          </w:tcPr>
          <w:p w14:paraId="2567973A">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14:paraId="6B8BAE4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340" w:type="pct"/>
            <w:tcBorders>
              <w:tl2br w:val="nil"/>
              <w:tr2bl w:val="nil"/>
            </w:tcBorders>
            <w:shd w:val="clear" w:color="auto" w:fill="auto"/>
            <w:vAlign w:val="center"/>
          </w:tcPr>
          <w:p w14:paraId="6DEE1FAB">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6</w:t>
            </w:r>
          </w:p>
        </w:tc>
        <w:tc>
          <w:tcPr>
            <w:tcW w:w="843" w:type="pct"/>
            <w:tcBorders>
              <w:tl2br w:val="nil"/>
              <w:tr2bl w:val="nil"/>
            </w:tcBorders>
            <w:shd w:val="clear" w:color="auto" w:fill="auto"/>
            <w:vAlign w:val="center"/>
          </w:tcPr>
          <w:p w14:paraId="5FD8E468">
            <w:pPr>
              <w:keepNext w:val="0"/>
              <w:keepLines w:val="0"/>
              <w:pageBreakBefore w:val="0"/>
              <w:widowControl/>
              <w:kinsoku/>
              <w:wordWrap/>
              <w:overflowPunct/>
              <w:topLinePunct w:val="0"/>
              <w:bidi w:val="0"/>
              <w:snapToGrid/>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下支架</w:t>
            </w:r>
          </w:p>
        </w:tc>
        <w:tc>
          <w:tcPr>
            <w:tcW w:w="1509" w:type="pct"/>
            <w:tcBorders>
              <w:tl2br w:val="nil"/>
              <w:tr2bl w:val="nil"/>
            </w:tcBorders>
            <w:shd w:val="clear" w:color="auto" w:fill="auto"/>
            <w:vAlign w:val="center"/>
          </w:tcPr>
          <w:p w14:paraId="499E3E79">
            <w:pPr>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铝件</w:t>
            </w:r>
          </w:p>
        </w:tc>
        <w:tc>
          <w:tcPr>
            <w:tcW w:w="914" w:type="pct"/>
            <w:tcBorders>
              <w:tl2br w:val="nil"/>
              <w:tr2bl w:val="nil"/>
            </w:tcBorders>
            <w:shd w:val="clear" w:color="auto" w:fill="auto"/>
            <w:vAlign w:val="center"/>
          </w:tcPr>
          <w:p w14:paraId="28522679">
            <w:pPr>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5000件/a</w:t>
            </w:r>
          </w:p>
        </w:tc>
        <w:tc>
          <w:tcPr>
            <w:tcW w:w="448" w:type="pct"/>
            <w:vMerge w:val="continue"/>
            <w:tcBorders>
              <w:tl2br w:val="nil"/>
              <w:tr2bl w:val="nil"/>
            </w:tcBorders>
            <w:shd w:val="clear" w:color="auto" w:fill="auto"/>
            <w:vAlign w:val="center"/>
          </w:tcPr>
          <w:p w14:paraId="3F80B7F2">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943" w:type="pct"/>
            <w:vMerge w:val="continue"/>
            <w:tcBorders>
              <w:tl2br w:val="nil"/>
              <w:tr2bl w:val="nil"/>
            </w:tcBorders>
            <w:shd w:val="clear" w:color="auto" w:fill="auto"/>
            <w:vAlign w:val="center"/>
          </w:tcPr>
          <w:p w14:paraId="21EE2FF9">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14:paraId="3EC05A2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340" w:type="pct"/>
            <w:tcBorders>
              <w:tl2br w:val="nil"/>
              <w:tr2bl w:val="nil"/>
            </w:tcBorders>
            <w:shd w:val="clear" w:color="auto" w:fill="auto"/>
            <w:vAlign w:val="center"/>
          </w:tcPr>
          <w:p w14:paraId="0F5D6B2C">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7</w:t>
            </w:r>
          </w:p>
        </w:tc>
        <w:tc>
          <w:tcPr>
            <w:tcW w:w="843" w:type="pct"/>
            <w:tcBorders>
              <w:tl2br w:val="nil"/>
              <w:tr2bl w:val="nil"/>
            </w:tcBorders>
            <w:shd w:val="clear" w:color="auto" w:fill="auto"/>
            <w:vAlign w:val="center"/>
          </w:tcPr>
          <w:p w14:paraId="1B28B0D4">
            <w:pPr>
              <w:keepNext w:val="0"/>
              <w:keepLines w:val="0"/>
              <w:pageBreakBefore w:val="0"/>
              <w:widowControl/>
              <w:kinsoku/>
              <w:wordWrap/>
              <w:overflowPunct/>
              <w:topLinePunct w:val="0"/>
              <w:bidi w:val="0"/>
              <w:snapToGrid/>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砂轮罩</w:t>
            </w:r>
          </w:p>
        </w:tc>
        <w:tc>
          <w:tcPr>
            <w:tcW w:w="1509" w:type="pct"/>
            <w:tcBorders>
              <w:tl2br w:val="nil"/>
              <w:tr2bl w:val="nil"/>
            </w:tcBorders>
            <w:shd w:val="clear" w:color="auto" w:fill="auto"/>
            <w:vAlign w:val="center"/>
          </w:tcPr>
          <w:p w14:paraId="28990395">
            <w:pPr>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铝件</w:t>
            </w:r>
          </w:p>
        </w:tc>
        <w:tc>
          <w:tcPr>
            <w:tcW w:w="914" w:type="pct"/>
            <w:tcBorders>
              <w:tl2br w:val="nil"/>
              <w:tr2bl w:val="nil"/>
            </w:tcBorders>
            <w:shd w:val="clear" w:color="auto" w:fill="auto"/>
            <w:vAlign w:val="center"/>
          </w:tcPr>
          <w:p w14:paraId="08703CEC">
            <w:pPr>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5000件/a</w:t>
            </w:r>
          </w:p>
        </w:tc>
        <w:tc>
          <w:tcPr>
            <w:tcW w:w="448" w:type="pct"/>
            <w:vMerge w:val="continue"/>
            <w:tcBorders>
              <w:tl2br w:val="nil"/>
              <w:tr2bl w:val="nil"/>
            </w:tcBorders>
            <w:shd w:val="clear" w:color="auto" w:fill="auto"/>
            <w:vAlign w:val="center"/>
          </w:tcPr>
          <w:p w14:paraId="57F4FDED">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943" w:type="pct"/>
            <w:vMerge w:val="continue"/>
            <w:tcBorders>
              <w:tl2br w:val="nil"/>
              <w:tr2bl w:val="nil"/>
            </w:tcBorders>
            <w:shd w:val="clear" w:color="auto" w:fill="auto"/>
            <w:vAlign w:val="center"/>
          </w:tcPr>
          <w:p w14:paraId="0F57FB0E">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14:paraId="61A765D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340" w:type="pct"/>
            <w:tcBorders>
              <w:tl2br w:val="nil"/>
              <w:tr2bl w:val="nil"/>
            </w:tcBorders>
            <w:shd w:val="clear" w:color="auto" w:fill="auto"/>
            <w:vAlign w:val="center"/>
          </w:tcPr>
          <w:p w14:paraId="40B69A48">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8</w:t>
            </w:r>
          </w:p>
        </w:tc>
        <w:tc>
          <w:tcPr>
            <w:tcW w:w="843" w:type="pct"/>
            <w:tcBorders>
              <w:tl2br w:val="nil"/>
              <w:tr2bl w:val="nil"/>
            </w:tcBorders>
            <w:shd w:val="clear" w:color="auto" w:fill="auto"/>
            <w:vAlign w:val="center"/>
          </w:tcPr>
          <w:p w14:paraId="3F12B6B0">
            <w:pPr>
              <w:keepNext w:val="0"/>
              <w:keepLines w:val="0"/>
              <w:pageBreakBefore w:val="0"/>
              <w:widowControl/>
              <w:kinsoku/>
              <w:wordWrap/>
              <w:overflowPunct/>
              <w:topLinePunct w:val="0"/>
              <w:bidi w:val="0"/>
              <w:snapToGrid/>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压座</w:t>
            </w:r>
          </w:p>
        </w:tc>
        <w:tc>
          <w:tcPr>
            <w:tcW w:w="1509" w:type="pct"/>
            <w:tcBorders>
              <w:tl2br w:val="nil"/>
              <w:tr2bl w:val="nil"/>
            </w:tcBorders>
            <w:shd w:val="clear" w:color="auto" w:fill="auto"/>
            <w:vAlign w:val="center"/>
          </w:tcPr>
          <w:p w14:paraId="740D29FD">
            <w:pPr>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铝件</w:t>
            </w:r>
          </w:p>
        </w:tc>
        <w:tc>
          <w:tcPr>
            <w:tcW w:w="914" w:type="pct"/>
            <w:tcBorders>
              <w:tl2br w:val="nil"/>
              <w:tr2bl w:val="nil"/>
            </w:tcBorders>
            <w:shd w:val="clear" w:color="auto" w:fill="auto"/>
            <w:vAlign w:val="center"/>
          </w:tcPr>
          <w:p w14:paraId="55DED15D">
            <w:pPr>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5000件/a</w:t>
            </w:r>
          </w:p>
        </w:tc>
        <w:tc>
          <w:tcPr>
            <w:tcW w:w="448" w:type="pct"/>
            <w:vMerge w:val="continue"/>
            <w:tcBorders>
              <w:tl2br w:val="nil"/>
              <w:tr2bl w:val="nil"/>
            </w:tcBorders>
            <w:shd w:val="clear" w:color="auto" w:fill="auto"/>
            <w:vAlign w:val="center"/>
          </w:tcPr>
          <w:p w14:paraId="78F8C6F5">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943" w:type="pct"/>
            <w:vMerge w:val="continue"/>
            <w:tcBorders>
              <w:tl2br w:val="nil"/>
              <w:tr2bl w:val="nil"/>
            </w:tcBorders>
            <w:shd w:val="clear" w:color="auto" w:fill="auto"/>
            <w:vAlign w:val="center"/>
          </w:tcPr>
          <w:p w14:paraId="496904AC">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14:paraId="7DB0087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340" w:type="pct"/>
            <w:tcBorders>
              <w:tl2br w:val="nil"/>
              <w:tr2bl w:val="nil"/>
            </w:tcBorders>
            <w:shd w:val="clear" w:color="auto" w:fill="auto"/>
            <w:vAlign w:val="center"/>
          </w:tcPr>
          <w:p w14:paraId="73A309F6">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9</w:t>
            </w:r>
          </w:p>
        </w:tc>
        <w:tc>
          <w:tcPr>
            <w:tcW w:w="843" w:type="pct"/>
            <w:tcBorders>
              <w:tl2br w:val="nil"/>
              <w:tr2bl w:val="nil"/>
            </w:tcBorders>
            <w:shd w:val="clear" w:color="auto" w:fill="auto"/>
            <w:vAlign w:val="center"/>
          </w:tcPr>
          <w:p w14:paraId="7E8A95B7">
            <w:pPr>
              <w:keepNext w:val="0"/>
              <w:keepLines w:val="0"/>
              <w:pageBreakBefore w:val="0"/>
              <w:widowControl/>
              <w:kinsoku/>
              <w:wordWrap/>
              <w:overflowPunct/>
              <w:topLinePunct w:val="0"/>
              <w:bidi w:val="0"/>
              <w:snapToGrid/>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压盖</w:t>
            </w:r>
          </w:p>
        </w:tc>
        <w:tc>
          <w:tcPr>
            <w:tcW w:w="1509" w:type="pct"/>
            <w:tcBorders>
              <w:tl2br w:val="nil"/>
              <w:tr2bl w:val="nil"/>
            </w:tcBorders>
            <w:shd w:val="clear" w:color="auto" w:fill="auto"/>
            <w:vAlign w:val="center"/>
          </w:tcPr>
          <w:p w14:paraId="1B367000">
            <w:pPr>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铝件</w:t>
            </w:r>
          </w:p>
        </w:tc>
        <w:tc>
          <w:tcPr>
            <w:tcW w:w="914" w:type="pct"/>
            <w:tcBorders>
              <w:tl2br w:val="nil"/>
              <w:tr2bl w:val="nil"/>
            </w:tcBorders>
            <w:shd w:val="clear" w:color="auto" w:fill="auto"/>
            <w:vAlign w:val="center"/>
          </w:tcPr>
          <w:p w14:paraId="2930AAFF">
            <w:pPr>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5000件/a</w:t>
            </w:r>
          </w:p>
        </w:tc>
        <w:tc>
          <w:tcPr>
            <w:tcW w:w="448" w:type="pct"/>
            <w:vMerge w:val="continue"/>
            <w:tcBorders>
              <w:tl2br w:val="nil"/>
              <w:tr2bl w:val="nil"/>
            </w:tcBorders>
            <w:shd w:val="clear" w:color="auto" w:fill="auto"/>
            <w:vAlign w:val="center"/>
          </w:tcPr>
          <w:p w14:paraId="6F1AD712">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943" w:type="pct"/>
            <w:vMerge w:val="continue"/>
            <w:tcBorders>
              <w:tl2br w:val="nil"/>
              <w:tr2bl w:val="nil"/>
            </w:tcBorders>
            <w:shd w:val="clear" w:color="auto" w:fill="auto"/>
            <w:vAlign w:val="center"/>
          </w:tcPr>
          <w:p w14:paraId="0D3BC787">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14:paraId="4D5FFED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340" w:type="pct"/>
            <w:tcBorders>
              <w:tl2br w:val="nil"/>
              <w:tr2bl w:val="nil"/>
            </w:tcBorders>
            <w:shd w:val="clear" w:color="auto" w:fill="auto"/>
            <w:vAlign w:val="center"/>
          </w:tcPr>
          <w:p w14:paraId="0BBD69C1">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10</w:t>
            </w:r>
          </w:p>
        </w:tc>
        <w:tc>
          <w:tcPr>
            <w:tcW w:w="843" w:type="pct"/>
            <w:tcBorders>
              <w:tl2br w:val="nil"/>
              <w:tr2bl w:val="nil"/>
            </w:tcBorders>
            <w:shd w:val="clear" w:color="auto" w:fill="auto"/>
            <w:vAlign w:val="center"/>
          </w:tcPr>
          <w:p w14:paraId="18A72A42">
            <w:pPr>
              <w:keepNext w:val="0"/>
              <w:keepLines w:val="0"/>
              <w:pageBreakBefore w:val="0"/>
              <w:widowControl/>
              <w:kinsoku/>
              <w:wordWrap/>
              <w:overflowPunct/>
              <w:topLinePunct w:val="0"/>
              <w:bidi w:val="0"/>
              <w:snapToGrid/>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直角板</w:t>
            </w:r>
          </w:p>
        </w:tc>
        <w:tc>
          <w:tcPr>
            <w:tcW w:w="1509" w:type="pct"/>
            <w:tcBorders>
              <w:tl2br w:val="nil"/>
              <w:tr2bl w:val="nil"/>
            </w:tcBorders>
            <w:shd w:val="clear" w:color="auto" w:fill="auto"/>
            <w:vAlign w:val="center"/>
          </w:tcPr>
          <w:p w14:paraId="7E194DDC">
            <w:pPr>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铝件</w:t>
            </w:r>
          </w:p>
        </w:tc>
        <w:tc>
          <w:tcPr>
            <w:tcW w:w="914" w:type="pct"/>
            <w:tcBorders>
              <w:tl2br w:val="nil"/>
              <w:tr2bl w:val="nil"/>
            </w:tcBorders>
            <w:shd w:val="clear" w:color="auto" w:fill="auto"/>
            <w:vAlign w:val="center"/>
          </w:tcPr>
          <w:p w14:paraId="432A45A1">
            <w:pPr>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5000件/a</w:t>
            </w:r>
          </w:p>
        </w:tc>
        <w:tc>
          <w:tcPr>
            <w:tcW w:w="448" w:type="pct"/>
            <w:vMerge w:val="continue"/>
            <w:tcBorders>
              <w:tl2br w:val="nil"/>
              <w:tr2bl w:val="nil"/>
            </w:tcBorders>
            <w:shd w:val="clear" w:color="auto" w:fill="auto"/>
            <w:vAlign w:val="center"/>
          </w:tcPr>
          <w:p w14:paraId="7EC2472F">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943" w:type="pct"/>
            <w:vMerge w:val="continue"/>
            <w:tcBorders>
              <w:tl2br w:val="nil"/>
              <w:tr2bl w:val="nil"/>
            </w:tcBorders>
            <w:shd w:val="clear" w:color="auto" w:fill="auto"/>
            <w:vAlign w:val="center"/>
          </w:tcPr>
          <w:p w14:paraId="79103E6A">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14:paraId="54717C4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340" w:type="pct"/>
            <w:tcBorders>
              <w:tl2br w:val="nil"/>
              <w:tr2bl w:val="nil"/>
            </w:tcBorders>
            <w:shd w:val="clear" w:color="auto" w:fill="auto"/>
            <w:vAlign w:val="center"/>
          </w:tcPr>
          <w:p w14:paraId="693780DF">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11</w:t>
            </w:r>
          </w:p>
        </w:tc>
        <w:tc>
          <w:tcPr>
            <w:tcW w:w="843" w:type="pct"/>
            <w:tcBorders>
              <w:tl2br w:val="nil"/>
              <w:tr2bl w:val="nil"/>
            </w:tcBorders>
            <w:shd w:val="clear" w:color="auto" w:fill="auto"/>
            <w:vAlign w:val="center"/>
          </w:tcPr>
          <w:p w14:paraId="23786A8A">
            <w:pPr>
              <w:keepNext w:val="0"/>
              <w:keepLines w:val="0"/>
              <w:pageBreakBefore w:val="0"/>
              <w:widowControl/>
              <w:kinsoku/>
              <w:wordWrap/>
              <w:overflowPunct/>
              <w:topLinePunct w:val="0"/>
              <w:bidi w:val="0"/>
              <w:snapToGrid/>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绞龙</w:t>
            </w:r>
          </w:p>
        </w:tc>
        <w:tc>
          <w:tcPr>
            <w:tcW w:w="1509" w:type="pct"/>
            <w:tcBorders>
              <w:tl2br w:val="nil"/>
              <w:tr2bl w:val="nil"/>
            </w:tcBorders>
            <w:shd w:val="clear" w:color="auto" w:fill="auto"/>
            <w:vAlign w:val="center"/>
          </w:tcPr>
          <w:p w14:paraId="2678BD3C">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铁件</w:t>
            </w:r>
          </w:p>
        </w:tc>
        <w:tc>
          <w:tcPr>
            <w:tcW w:w="914" w:type="pct"/>
            <w:tcBorders>
              <w:tl2br w:val="nil"/>
              <w:tr2bl w:val="nil"/>
            </w:tcBorders>
            <w:shd w:val="clear" w:color="auto" w:fill="auto"/>
            <w:vAlign w:val="center"/>
          </w:tcPr>
          <w:p w14:paraId="146BFBB7">
            <w:pPr>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5000件/a</w:t>
            </w:r>
          </w:p>
        </w:tc>
        <w:tc>
          <w:tcPr>
            <w:tcW w:w="448" w:type="pct"/>
            <w:vMerge w:val="continue"/>
            <w:tcBorders>
              <w:tl2br w:val="nil"/>
              <w:tr2bl w:val="nil"/>
            </w:tcBorders>
            <w:shd w:val="clear" w:color="auto" w:fill="auto"/>
            <w:vAlign w:val="center"/>
          </w:tcPr>
          <w:p w14:paraId="00F8B411">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943" w:type="pct"/>
            <w:vMerge w:val="continue"/>
            <w:tcBorders>
              <w:tl2br w:val="nil"/>
              <w:tr2bl w:val="nil"/>
            </w:tcBorders>
            <w:shd w:val="clear" w:color="auto" w:fill="auto"/>
            <w:vAlign w:val="center"/>
          </w:tcPr>
          <w:p w14:paraId="2DD8EDAD">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14:paraId="7AB3329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340" w:type="pct"/>
            <w:tcBorders>
              <w:tl2br w:val="nil"/>
              <w:tr2bl w:val="nil"/>
            </w:tcBorders>
            <w:shd w:val="clear" w:color="auto" w:fill="auto"/>
            <w:vAlign w:val="center"/>
          </w:tcPr>
          <w:p w14:paraId="3F670C78">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12</w:t>
            </w:r>
          </w:p>
        </w:tc>
        <w:tc>
          <w:tcPr>
            <w:tcW w:w="843" w:type="pct"/>
            <w:tcBorders>
              <w:tl2br w:val="nil"/>
              <w:tr2bl w:val="nil"/>
            </w:tcBorders>
            <w:shd w:val="clear" w:color="auto" w:fill="auto"/>
            <w:vAlign w:val="center"/>
          </w:tcPr>
          <w:p w14:paraId="2AA79C82">
            <w:pPr>
              <w:keepNext w:val="0"/>
              <w:keepLines w:val="0"/>
              <w:pageBreakBefore w:val="0"/>
              <w:widowControl/>
              <w:kinsoku/>
              <w:wordWrap/>
              <w:overflowPunct/>
              <w:topLinePunct w:val="0"/>
              <w:bidi w:val="0"/>
              <w:snapToGrid/>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重锤</w:t>
            </w:r>
          </w:p>
        </w:tc>
        <w:tc>
          <w:tcPr>
            <w:tcW w:w="1509" w:type="pct"/>
            <w:tcBorders>
              <w:tl2br w:val="nil"/>
              <w:tr2bl w:val="nil"/>
            </w:tcBorders>
            <w:shd w:val="clear" w:color="auto" w:fill="auto"/>
            <w:vAlign w:val="center"/>
          </w:tcPr>
          <w:p w14:paraId="0484486F">
            <w:pPr>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铁件</w:t>
            </w:r>
          </w:p>
        </w:tc>
        <w:tc>
          <w:tcPr>
            <w:tcW w:w="914" w:type="pct"/>
            <w:tcBorders>
              <w:tl2br w:val="nil"/>
              <w:tr2bl w:val="nil"/>
            </w:tcBorders>
            <w:shd w:val="clear" w:color="auto" w:fill="auto"/>
            <w:vAlign w:val="center"/>
          </w:tcPr>
          <w:p w14:paraId="0F6971A9">
            <w:pPr>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5000件/a</w:t>
            </w:r>
          </w:p>
        </w:tc>
        <w:tc>
          <w:tcPr>
            <w:tcW w:w="448" w:type="pct"/>
            <w:vMerge w:val="continue"/>
            <w:tcBorders>
              <w:tl2br w:val="nil"/>
              <w:tr2bl w:val="nil"/>
            </w:tcBorders>
            <w:shd w:val="clear" w:color="auto" w:fill="auto"/>
            <w:vAlign w:val="center"/>
          </w:tcPr>
          <w:p w14:paraId="4B805546">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943" w:type="pct"/>
            <w:vMerge w:val="continue"/>
            <w:tcBorders>
              <w:tl2br w:val="nil"/>
              <w:tr2bl w:val="nil"/>
            </w:tcBorders>
            <w:shd w:val="clear" w:color="auto" w:fill="auto"/>
            <w:vAlign w:val="center"/>
          </w:tcPr>
          <w:p w14:paraId="7867462A">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14:paraId="52B9C80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340" w:type="pct"/>
            <w:tcBorders>
              <w:tl2br w:val="nil"/>
              <w:tr2bl w:val="nil"/>
            </w:tcBorders>
            <w:shd w:val="clear" w:color="auto" w:fill="auto"/>
            <w:vAlign w:val="center"/>
          </w:tcPr>
          <w:p w14:paraId="4B6DF119">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13</w:t>
            </w:r>
          </w:p>
        </w:tc>
        <w:tc>
          <w:tcPr>
            <w:tcW w:w="843" w:type="pct"/>
            <w:tcBorders>
              <w:tl2br w:val="nil"/>
              <w:tr2bl w:val="nil"/>
            </w:tcBorders>
            <w:shd w:val="clear" w:color="auto" w:fill="auto"/>
            <w:vAlign w:val="center"/>
          </w:tcPr>
          <w:p w14:paraId="2D486FB2">
            <w:pPr>
              <w:keepNext w:val="0"/>
              <w:keepLines w:val="0"/>
              <w:pageBreakBefore w:val="0"/>
              <w:widowControl/>
              <w:kinsoku/>
              <w:wordWrap/>
              <w:overflowPunct/>
              <w:topLinePunct w:val="0"/>
              <w:bidi w:val="0"/>
              <w:snapToGrid/>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轴</w:t>
            </w:r>
          </w:p>
        </w:tc>
        <w:tc>
          <w:tcPr>
            <w:tcW w:w="1509" w:type="pct"/>
            <w:tcBorders>
              <w:tl2br w:val="nil"/>
              <w:tr2bl w:val="nil"/>
            </w:tcBorders>
            <w:shd w:val="clear" w:color="auto" w:fill="auto"/>
            <w:vAlign w:val="center"/>
          </w:tcPr>
          <w:p w14:paraId="7EB23CF7">
            <w:pPr>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铁件</w:t>
            </w:r>
          </w:p>
        </w:tc>
        <w:tc>
          <w:tcPr>
            <w:tcW w:w="914" w:type="pct"/>
            <w:tcBorders>
              <w:tl2br w:val="nil"/>
              <w:tr2bl w:val="nil"/>
            </w:tcBorders>
            <w:shd w:val="clear" w:color="auto" w:fill="auto"/>
            <w:vAlign w:val="center"/>
          </w:tcPr>
          <w:p w14:paraId="2099E301">
            <w:pPr>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5000件/a</w:t>
            </w:r>
          </w:p>
        </w:tc>
        <w:tc>
          <w:tcPr>
            <w:tcW w:w="448" w:type="pct"/>
            <w:vMerge w:val="continue"/>
            <w:tcBorders>
              <w:tl2br w:val="nil"/>
              <w:tr2bl w:val="nil"/>
            </w:tcBorders>
            <w:shd w:val="clear" w:color="auto" w:fill="auto"/>
            <w:vAlign w:val="center"/>
          </w:tcPr>
          <w:p w14:paraId="05821861">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943" w:type="pct"/>
            <w:vMerge w:val="continue"/>
            <w:tcBorders>
              <w:tl2br w:val="nil"/>
              <w:tr2bl w:val="nil"/>
            </w:tcBorders>
            <w:shd w:val="clear" w:color="auto" w:fill="auto"/>
            <w:vAlign w:val="center"/>
          </w:tcPr>
          <w:p w14:paraId="060F88C0">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14:paraId="34FA0B1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340" w:type="pct"/>
            <w:tcBorders>
              <w:tl2br w:val="nil"/>
              <w:tr2bl w:val="nil"/>
            </w:tcBorders>
            <w:shd w:val="clear" w:color="auto" w:fill="auto"/>
            <w:vAlign w:val="center"/>
          </w:tcPr>
          <w:p w14:paraId="711CF14F">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t>14</w:t>
            </w:r>
          </w:p>
        </w:tc>
        <w:tc>
          <w:tcPr>
            <w:tcW w:w="843" w:type="pct"/>
            <w:tcBorders>
              <w:tl2br w:val="nil"/>
              <w:tr2bl w:val="nil"/>
            </w:tcBorders>
            <w:shd w:val="clear" w:color="auto" w:fill="auto"/>
            <w:vAlign w:val="center"/>
          </w:tcPr>
          <w:p w14:paraId="3505AE81">
            <w:pPr>
              <w:keepNext w:val="0"/>
              <w:keepLines w:val="0"/>
              <w:pageBreakBefore w:val="0"/>
              <w:widowControl/>
              <w:kinsoku/>
              <w:wordWrap/>
              <w:overflowPunct/>
              <w:topLinePunct w:val="0"/>
              <w:bidi w:val="0"/>
              <w:snapToGrid/>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t>抛光膏（蜡）</w:t>
            </w:r>
          </w:p>
        </w:tc>
        <w:tc>
          <w:tcPr>
            <w:tcW w:w="1509" w:type="pct"/>
            <w:tcBorders>
              <w:tl2br w:val="nil"/>
              <w:tr2bl w:val="nil"/>
            </w:tcBorders>
            <w:shd w:val="clear" w:color="auto" w:fill="auto"/>
            <w:vAlign w:val="center"/>
          </w:tcPr>
          <w:p w14:paraId="6F432717">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硬脂酸、石蜡、石英粉</w:t>
            </w:r>
          </w:p>
        </w:tc>
        <w:tc>
          <w:tcPr>
            <w:tcW w:w="914" w:type="pct"/>
            <w:tcBorders>
              <w:tl2br w:val="nil"/>
              <w:tr2bl w:val="nil"/>
            </w:tcBorders>
            <w:shd w:val="clear" w:color="auto" w:fill="auto"/>
            <w:vAlign w:val="center"/>
          </w:tcPr>
          <w:p w14:paraId="7E688647">
            <w:pPr>
              <w:keepNext w:val="0"/>
              <w:keepLines w:val="0"/>
              <w:pageBreakBefore w:val="0"/>
              <w:widowControl/>
              <w:kinsoku/>
              <w:wordWrap/>
              <w:overflowPunct/>
              <w:topLinePunct w:val="0"/>
              <w:bidi w:val="0"/>
              <w:snapToGrid/>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t>8t/a</w:t>
            </w:r>
          </w:p>
        </w:tc>
        <w:tc>
          <w:tcPr>
            <w:tcW w:w="448" w:type="pct"/>
            <w:vMerge w:val="continue"/>
            <w:tcBorders>
              <w:tl2br w:val="nil"/>
              <w:tr2bl w:val="nil"/>
            </w:tcBorders>
            <w:shd w:val="clear" w:color="auto" w:fill="auto"/>
            <w:vAlign w:val="center"/>
          </w:tcPr>
          <w:p w14:paraId="56052FB6">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943" w:type="pct"/>
            <w:vMerge w:val="continue"/>
            <w:tcBorders>
              <w:tl2br w:val="nil"/>
              <w:tr2bl w:val="nil"/>
            </w:tcBorders>
            <w:shd w:val="clear" w:color="auto" w:fill="auto"/>
            <w:vAlign w:val="center"/>
          </w:tcPr>
          <w:p w14:paraId="7DD614D6">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14:paraId="4C0229F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340" w:type="pct"/>
            <w:tcBorders>
              <w:tl2br w:val="nil"/>
              <w:tr2bl w:val="nil"/>
            </w:tcBorders>
            <w:shd w:val="clear" w:color="auto" w:fill="auto"/>
            <w:vAlign w:val="center"/>
          </w:tcPr>
          <w:p w14:paraId="24E1810D">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15</w:t>
            </w:r>
          </w:p>
        </w:tc>
        <w:tc>
          <w:tcPr>
            <w:tcW w:w="843" w:type="pct"/>
            <w:tcBorders>
              <w:tl2br w:val="nil"/>
              <w:tr2bl w:val="nil"/>
            </w:tcBorders>
            <w:shd w:val="clear" w:color="auto" w:fill="auto"/>
            <w:vAlign w:val="center"/>
          </w:tcPr>
          <w:p w14:paraId="59A9D628">
            <w:pPr>
              <w:keepNext w:val="0"/>
              <w:keepLines w:val="0"/>
              <w:pageBreakBefore w:val="0"/>
              <w:widowControl/>
              <w:kinsoku/>
              <w:wordWrap/>
              <w:overflowPunct/>
              <w:topLinePunct w:val="0"/>
              <w:bidi w:val="0"/>
              <w:snapToGrid/>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金属清洗剂</w:t>
            </w:r>
          </w:p>
        </w:tc>
        <w:tc>
          <w:tcPr>
            <w:tcW w:w="1509" w:type="pct"/>
            <w:tcBorders>
              <w:tl2br w:val="nil"/>
              <w:tr2bl w:val="nil"/>
            </w:tcBorders>
            <w:shd w:val="clear" w:color="auto" w:fill="auto"/>
            <w:vAlign w:val="center"/>
          </w:tcPr>
          <w:p w14:paraId="04BD117A">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碳酸氢钠20%、碳酸钠50%、低泡乳化剂10%、JFC分散剂10%、葡萄糖酸钠10%</w:t>
            </w:r>
          </w:p>
        </w:tc>
        <w:tc>
          <w:tcPr>
            <w:tcW w:w="914" w:type="pct"/>
            <w:tcBorders>
              <w:tl2br w:val="nil"/>
              <w:tr2bl w:val="nil"/>
            </w:tcBorders>
            <w:shd w:val="clear" w:color="auto" w:fill="auto"/>
            <w:vAlign w:val="center"/>
          </w:tcPr>
          <w:p w14:paraId="128F24B2">
            <w:pPr>
              <w:keepNext w:val="0"/>
              <w:keepLines w:val="0"/>
              <w:pageBreakBefore w:val="0"/>
              <w:widowControl/>
              <w:kinsoku/>
              <w:wordWrap/>
              <w:overflowPunct/>
              <w:topLinePunct w:val="0"/>
              <w:bidi w:val="0"/>
              <w:snapToGrid/>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1t/a</w:t>
            </w:r>
          </w:p>
        </w:tc>
        <w:tc>
          <w:tcPr>
            <w:tcW w:w="448" w:type="pct"/>
            <w:vMerge w:val="restart"/>
            <w:tcBorders>
              <w:tl2br w:val="nil"/>
              <w:tr2bl w:val="nil"/>
            </w:tcBorders>
            <w:shd w:val="clear" w:color="auto" w:fill="auto"/>
            <w:vAlign w:val="center"/>
          </w:tcPr>
          <w:p w14:paraId="3FE77112">
            <w:pPr>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i w:val="0"/>
                <w:iCs w:val="0"/>
                <w:color w:val="000000"/>
                <w:kern w:val="0"/>
                <w:sz w:val="21"/>
                <w:szCs w:val="21"/>
                <w:highlight w:val="none"/>
                <w:u w:val="none"/>
                <w:lang w:val="en-US" w:eastAsia="zh-CN" w:bidi="ar"/>
              </w:rPr>
              <w:t>化学品库</w:t>
            </w:r>
          </w:p>
        </w:tc>
        <w:tc>
          <w:tcPr>
            <w:tcW w:w="943" w:type="pct"/>
            <w:vMerge w:val="restart"/>
            <w:tcBorders>
              <w:tl2br w:val="nil"/>
              <w:tr2bl w:val="nil"/>
            </w:tcBorders>
            <w:shd w:val="clear" w:color="auto" w:fill="auto"/>
            <w:vAlign w:val="center"/>
          </w:tcPr>
          <w:p w14:paraId="1D542FAC">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ascii="Times New Roman" w:hAnsi="Times New Roman" w:eastAsia="宋体" w:cs="Times New Roman"/>
                <w:i w:val="0"/>
                <w:iCs w:val="0"/>
                <w:color w:val="000000"/>
                <w:kern w:val="0"/>
                <w:sz w:val="21"/>
                <w:szCs w:val="21"/>
                <w:highlight w:val="none"/>
                <w:u w:val="none"/>
                <w:lang w:val="en-US" w:eastAsia="zh-CN" w:bidi="ar"/>
              </w:rPr>
              <w:t>不一致，原环评化学品库存储，实际未建设化学品库，随买随用，用量不变。</w:t>
            </w:r>
          </w:p>
        </w:tc>
      </w:tr>
      <w:tr w14:paraId="2AB6C3A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340" w:type="pct"/>
            <w:tcBorders>
              <w:tl2br w:val="nil"/>
              <w:tr2bl w:val="nil"/>
            </w:tcBorders>
            <w:shd w:val="clear" w:color="auto" w:fill="auto"/>
            <w:vAlign w:val="center"/>
          </w:tcPr>
          <w:p w14:paraId="38B87E54">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16</w:t>
            </w:r>
          </w:p>
        </w:tc>
        <w:tc>
          <w:tcPr>
            <w:tcW w:w="843" w:type="pct"/>
            <w:tcBorders>
              <w:tl2br w:val="nil"/>
              <w:tr2bl w:val="nil"/>
            </w:tcBorders>
            <w:shd w:val="clear" w:color="auto" w:fill="auto"/>
            <w:vAlign w:val="center"/>
          </w:tcPr>
          <w:p w14:paraId="0DE670D6">
            <w:pPr>
              <w:keepNext w:val="0"/>
              <w:keepLines w:val="0"/>
              <w:pageBreakBefore w:val="0"/>
              <w:widowControl/>
              <w:suppressLineNumbers w:val="0"/>
              <w:kinsoku/>
              <w:wordWrap/>
              <w:overflowPunct/>
              <w:topLinePunct w:val="0"/>
              <w:bidi w:val="0"/>
              <w:snapToGrid/>
              <w:spacing w:line="240" w:lineRule="auto"/>
              <w:jc w:val="center"/>
              <w:textAlignment w:val="cente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阳极氧化液</w:t>
            </w:r>
          </w:p>
        </w:tc>
        <w:tc>
          <w:tcPr>
            <w:tcW w:w="1509" w:type="pct"/>
            <w:tcBorders>
              <w:tl2br w:val="nil"/>
              <w:tr2bl w:val="nil"/>
            </w:tcBorders>
            <w:shd w:val="clear" w:color="auto" w:fill="auto"/>
            <w:vAlign w:val="center"/>
          </w:tcPr>
          <w:p w14:paraId="383585E9">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98%H</w:t>
            </w:r>
            <w:r>
              <w:rPr>
                <w:rFonts w:hint="default" w:ascii="Times New Roman" w:hAnsi="Times New Roman" w:eastAsia="宋体" w:cs="Times New Roman"/>
                <w:color w:val="000000" w:themeColor="text1"/>
                <w:sz w:val="21"/>
                <w:szCs w:val="21"/>
                <w:highlight w:val="none"/>
                <w:vertAlign w:val="subscript"/>
                <w:lang w:val="en-US" w:eastAsia="zh-CN"/>
                <w14:textFill>
                  <w14:solidFill>
                    <w14:schemeClr w14:val="tx1"/>
                  </w14:solidFill>
                </w14:textFill>
              </w:rPr>
              <w:t>2</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SO</w:t>
            </w:r>
            <w:r>
              <w:rPr>
                <w:rFonts w:hint="default" w:ascii="Times New Roman" w:hAnsi="Times New Roman" w:eastAsia="宋体" w:cs="Times New Roman"/>
                <w:color w:val="000000" w:themeColor="text1"/>
                <w:sz w:val="21"/>
                <w:szCs w:val="21"/>
                <w:highlight w:val="none"/>
                <w:vertAlign w:val="subscript"/>
                <w:lang w:val="en-US" w:eastAsia="zh-CN"/>
                <w14:textFill>
                  <w14:solidFill>
                    <w14:schemeClr w14:val="tx1"/>
                  </w14:solidFill>
                </w14:textFill>
              </w:rPr>
              <w:t>4</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；2%α活性羟基羧酸</w:t>
            </w:r>
          </w:p>
        </w:tc>
        <w:tc>
          <w:tcPr>
            <w:tcW w:w="914" w:type="pct"/>
            <w:tcBorders>
              <w:tl2br w:val="nil"/>
              <w:tr2bl w:val="nil"/>
            </w:tcBorders>
            <w:shd w:val="clear" w:color="auto" w:fill="auto"/>
            <w:vAlign w:val="center"/>
          </w:tcPr>
          <w:p w14:paraId="36F2341B">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850L/a（1.56t/a）</w:t>
            </w:r>
          </w:p>
        </w:tc>
        <w:tc>
          <w:tcPr>
            <w:tcW w:w="448" w:type="pct"/>
            <w:vMerge w:val="continue"/>
            <w:tcBorders>
              <w:tl2br w:val="nil"/>
              <w:tr2bl w:val="nil"/>
            </w:tcBorders>
            <w:shd w:val="clear" w:color="auto" w:fill="auto"/>
            <w:vAlign w:val="center"/>
          </w:tcPr>
          <w:p w14:paraId="0A06F094">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943" w:type="pct"/>
            <w:vMerge w:val="continue"/>
            <w:tcBorders>
              <w:tl2br w:val="nil"/>
              <w:tr2bl w:val="nil"/>
            </w:tcBorders>
            <w:shd w:val="clear" w:color="auto" w:fill="auto"/>
            <w:vAlign w:val="center"/>
          </w:tcPr>
          <w:p w14:paraId="1DEB3A0E">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14:paraId="61A6D46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340" w:type="pct"/>
            <w:tcBorders>
              <w:tl2br w:val="nil"/>
              <w:tr2bl w:val="nil"/>
            </w:tcBorders>
            <w:shd w:val="clear" w:color="auto" w:fill="auto"/>
            <w:vAlign w:val="center"/>
          </w:tcPr>
          <w:p w14:paraId="43B08A6D">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17</w:t>
            </w:r>
          </w:p>
        </w:tc>
        <w:tc>
          <w:tcPr>
            <w:tcW w:w="843" w:type="pct"/>
            <w:tcBorders>
              <w:tl2br w:val="nil"/>
              <w:tr2bl w:val="nil"/>
            </w:tcBorders>
            <w:shd w:val="clear" w:color="auto" w:fill="auto"/>
            <w:vAlign w:val="center"/>
          </w:tcPr>
          <w:p w14:paraId="776F9047">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封闭剂（粉状）</w:t>
            </w:r>
          </w:p>
        </w:tc>
        <w:tc>
          <w:tcPr>
            <w:tcW w:w="1509" w:type="pct"/>
            <w:tcBorders>
              <w:tl2br w:val="nil"/>
              <w:tr2bl w:val="nil"/>
            </w:tcBorders>
            <w:shd w:val="clear" w:color="auto" w:fill="auto"/>
            <w:vAlign w:val="center"/>
          </w:tcPr>
          <w:p w14:paraId="755F2EA6">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氟锆酸钾</w:t>
            </w:r>
          </w:p>
        </w:tc>
        <w:tc>
          <w:tcPr>
            <w:tcW w:w="914" w:type="pct"/>
            <w:tcBorders>
              <w:tl2br w:val="nil"/>
              <w:tr2bl w:val="nil"/>
            </w:tcBorders>
            <w:shd w:val="clear" w:color="auto" w:fill="auto"/>
            <w:vAlign w:val="center"/>
          </w:tcPr>
          <w:p w14:paraId="63F31531">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1.25t/a</w:t>
            </w:r>
          </w:p>
        </w:tc>
        <w:tc>
          <w:tcPr>
            <w:tcW w:w="448" w:type="pct"/>
            <w:vMerge w:val="continue"/>
            <w:tcBorders>
              <w:tl2br w:val="nil"/>
              <w:tr2bl w:val="nil"/>
            </w:tcBorders>
            <w:shd w:val="clear" w:color="auto" w:fill="auto"/>
            <w:vAlign w:val="center"/>
          </w:tcPr>
          <w:p w14:paraId="1456D09E">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943" w:type="pct"/>
            <w:vMerge w:val="continue"/>
            <w:tcBorders>
              <w:tl2br w:val="nil"/>
              <w:tr2bl w:val="nil"/>
            </w:tcBorders>
            <w:shd w:val="clear" w:color="auto" w:fill="auto"/>
            <w:vAlign w:val="center"/>
          </w:tcPr>
          <w:p w14:paraId="76C103C9">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14:paraId="46B16BC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340" w:type="pct"/>
            <w:tcBorders>
              <w:tl2br w:val="nil"/>
              <w:tr2bl w:val="nil"/>
            </w:tcBorders>
            <w:shd w:val="clear" w:color="auto" w:fill="auto"/>
            <w:vAlign w:val="center"/>
          </w:tcPr>
          <w:p w14:paraId="0BA711B8">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18</w:t>
            </w:r>
          </w:p>
        </w:tc>
        <w:tc>
          <w:tcPr>
            <w:tcW w:w="843" w:type="pct"/>
            <w:tcBorders>
              <w:tl2br w:val="nil"/>
              <w:tr2bl w:val="nil"/>
            </w:tcBorders>
            <w:shd w:val="clear" w:color="auto" w:fill="auto"/>
            <w:vAlign w:val="center"/>
          </w:tcPr>
          <w:p w14:paraId="7E929BCF">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润滑油</w:t>
            </w:r>
          </w:p>
        </w:tc>
        <w:tc>
          <w:tcPr>
            <w:tcW w:w="1509" w:type="pct"/>
            <w:tcBorders>
              <w:tl2br w:val="nil"/>
              <w:tr2bl w:val="nil"/>
            </w:tcBorders>
            <w:shd w:val="clear" w:color="auto" w:fill="auto"/>
            <w:vAlign w:val="center"/>
          </w:tcPr>
          <w:p w14:paraId="7870FFBB">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石油烃</w:t>
            </w:r>
          </w:p>
        </w:tc>
        <w:tc>
          <w:tcPr>
            <w:tcW w:w="914" w:type="pct"/>
            <w:tcBorders>
              <w:tl2br w:val="nil"/>
              <w:tr2bl w:val="nil"/>
            </w:tcBorders>
            <w:shd w:val="clear" w:color="auto" w:fill="auto"/>
            <w:vAlign w:val="center"/>
          </w:tcPr>
          <w:p w14:paraId="629E15BB">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0.05t/a</w:t>
            </w:r>
          </w:p>
        </w:tc>
        <w:tc>
          <w:tcPr>
            <w:tcW w:w="448" w:type="pct"/>
            <w:vMerge w:val="continue"/>
            <w:tcBorders>
              <w:tl2br w:val="nil"/>
              <w:tr2bl w:val="nil"/>
            </w:tcBorders>
            <w:shd w:val="clear" w:color="auto" w:fill="auto"/>
            <w:vAlign w:val="center"/>
          </w:tcPr>
          <w:p w14:paraId="2AC2BF22">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943" w:type="pct"/>
            <w:vMerge w:val="continue"/>
            <w:tcBorders>
              <w:tl2br w:val="nil"/>
              <w:tr2bl w:val="nil"/>
            </w:tcBorders>
            <w:shd w:val="clear" w:color="auto" w:fill="auto"/>
            <w:vAlign w:val="center"/>
          </w:tcPr>
          <w:p w14:paraId="364628B9">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14:paraId="189F836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340" w:type="pct"/>
            <w:tcBorders>
              <w:tl2br w:val="nil"/>
              <w:tr2bl w:val="nil"/>
            </w:tcBorders>
            <w:shd w:val="clear" w:color="auto" w:fill="auto"/>
            <w:vAlign w:val="center"/>
          </w:tcPr>
          <w:p w14:paraId="1DD1B067">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19</w:t>
            </w:r>
          </w:p>
        </w:tc>
        <w:tc>
          <w:tcPr>
            <w:tcW w:w="843" w:type="pct"/>
            <w:tcBorders>
              <w:tl2br w:val="nil"/>
              <w:tr2bl w:val="nil"/>
            </w:tcBorders>
            <w:shd w:val="clear" w:color="auto" w:fill="auto"/>
            <w:vAlign w:val="center"/>
          </w:tcPr>
          <w:p w14:paraId="1F64F2AD">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抛光砂轮</w:t>
            </w:r>
          </w:p>
        </w:tc>
        <w:tc>
          <w:tcPr>
            <w:tcW w:w="1509" w:type="pct"/>
            <w:tcBorders>
              <w:tl2br w:val="nil"/>
              <w:tr2bl w:val="nil"/>
            </w:tcBorders>
            <w:shd w:val="clear" w:color="auto" w:fill="auto"/>
            <w:vAlign w:val="center"/>
          </w:tcPr>
          <w:p w14:paraId="2F5E7CC7">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w:t>
            </w:r>
          </w:p>
        </w:tc>
        <w:tc>
          <w:tcPr>
            <w:tcW w:w="914" w:type="pct"/>
            <w:tcBorders>
              <w:tl2br w:val="nil"/>
              <w:tr2bl w:val="nil"/>
            </w:tcBorders>
            <w:shd w:val="clear" w:color="auto" w:fill="auto"/>
            <w:vAlign w:val="center"/>
          </w:tcPr>
          <w:p w14:paraId="70E49BAA">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150个/a</w:t>
            </w:r>
          </w:p>
        </w:tc>
        <w:tc>
          <w:tcPr>
            <w:tcW w:w="448" w:type="pct"/>
            <w:tcBorders>
              <w:tl2br w:val="nil"/>
              <w:tr2bl w:val="nil"/>
            </w:tcBorders>
            <w:shd w:val="clear" w:color="auto" w:fill="auto"/>
            <w:vAlign w:val="center"/>
          </w:tcPr>
          <w:p w14:paraId="1A68C0B5">
            <w:pPr>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原料仓库堆放</w:t>
            </w:r>
          </w:p>
        </w:tc>
        <w:tc>
          <w:tcPr>
            <w:tcW w:w="943" w:type="pct"/>
            <w:tcBorders>
              <w:tl2br w:val="nil"/>
              <w:tr2bl w:val="nil"/>
            </w:tcBorders>
            <w:shd w:val="clear" w:color="auto" w:fill="auto"/>
            <w:vAlign w:val="center"/>
          </w:tcPr>
          <w:p w14:paraId="59ECA057">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一致</w:t>
            </w:r>
          </w:p>
        </w:tc>
      </w:tr>
      <w:tr w14:paraId="5252EAF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340" w:type="pct"/>
            <w:tcBorders>
              <w:tl2br w:val="nil"/>
              <w:tr2bl w:val="nil"/>
            </w:tcBorders>
            <w:shd w:val="clear" w:color="auto" w:fill="auto"/>
            <w:vAlign w:val="center"/>
          </w:tcPr>
          <w:p w14:paraId="44D03FD6">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20</w:t>
            </w:r>
          </w:p>
        </w:tc>
        <w:tc>
          <w:tcPr>
            <w:tcW w:w="843" w:type="pct"/>
            <w:tcBorders>
              <w:tl2br w:val="nil"/>
              <w:tr2bl w:val="nil"/>
            </w:tcBorders>
            <w:shd w:val="clear" w:color="auto" w:fill="auto"/>
            <w:vAlign w:val="center"/>
          </w:tcPr>
          <w:p w14:paraId="71FC8505">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氢氧化钠</w:t>
            </w:r>
          </w:p>
        </w:tc>
        <w:tc>
          <w:tcPr>
            <w:tcW w:w="1509" w:type="pct"/>
            <w:tcBorders>
              <w:tl2br w:val="nil"/>
              <w:tr2bl w:val="nil"/>
            </w:tcBorders>
            <w:shd w:val="clear" w:color="auto" w:fill="auto"/>
            <w:vAlign w:val="center"/>
          </w:tcPr>
          <w:p w14:paraId="3B1432CB">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NaOH</w:t>
            </w:r>
          </w:p>
        </w:tc>
        <w:tc>
          <w:tcPr>
            <w:tcW w:w="914" w:type="pct"/>
            <w:tcBorders>
              <w:tl2br w:val="nil"/>
              <w:tr2bl w:val="nil"/>
            </w:tcBorders>
            <w:shd w:val="clear" w:color="auto" w:fill="auto"/>
            <w:vAlign w:val="center"/>
          </w:tcPr>
          <w:p w14:paraId="6C04AED4">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0.11t/a</w:t>
            </w:r>
          </w:p>
        </w:tc>
        <w:tc>
          <w:tcPr>
            <w:tcW w:w="448" w:type="pct"/>
            <w:vMerge w:val="restart"/>
            <w:tcBorders>
              <w:tl2br w:val="nil"/>
              <w:tr2bl w:val="nil"/>
            </w:tcBorders>
            <w:shd w:val="clear" w:color="auto" w:fill="auto"/>
            <w:vAlign w:val="center"/>
          </w:tcPr>
          <w:p w14:paraId="51E180A0">
            <w:pPr>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i w:val="0"/>
                <w:iCs w:val="0"/>
                <w:color w:val="000000"/>
                <w:kern w:val="0"/>
                <w:sz w:val="21"/>
                <w:szCs w:val="21"/>
                <w:highlight w:val="none"/>
                <w:u w:val="none"/>
                <w:lang w:val="en-US" w:eastAsia="zh-CN" w:bidi="ar"/>
              </w:rPr>
              <w:t>化学品库</w:t>
            </w:r>
          </w:p>
        </w:tc>
        <w:tc>
          <w:tcPr>
            <w:tcW w:w="943" w:type="pct"/>
            <w:vMerge w:val="restart"/>
            <w:tcBorders>
              <w:tl2br w:val="nil"/>
              <w:tr2bl w:val="nil"/>
            </w:tcBorders>
            <w:shd w:val="clear" w:color="auto" w:fill="auto"/>
            <w:vAlign w:val="center"/>
          </w:tcPr>
          <w:p w14:paraId="11C63085">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ascii="Times New Roman" w:hAnsi="Times New Roman" w:eastAsia="宋体" w:cs="Times New Roman"/>
                <w:i w:val="0"/>
                <w:iCs w:val="0"/>
                <w:color w:val="000000"/>
                <w:kern w:val="0"/>
                <w:sz w:val="21"/>
                <w:szCs w:val="21"/>
                <w:highlight w:val="none"/>
                <w:u w:val="none"/>
                <w:lang w:val="en-US" w:eastAsia="zh-CN" w:bidi="ar"/>
              </w:rPr>
              <w:t>不一致，原环评化学品库存储，实际未建设化学品库，随买随用，用量不变。</w:t>
            </w:r>
          </w:p>
        </w:tc>
      </w:tr>
      <w:tr w14:paraId="63AD3D8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0" w:type="auto"/>
            <w:shd w:val="clear" w:color="auto" w:fill="auto"/>
            <w:vAlign w:val="center"/>
          </w:tcPr>
          <w:p w14:paraId="41C58BC6">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21</w:t>
            </w:r>
          </w:p>
        </w:tc>
        <w:tc>
          <w:tcPr>
            <w:tcW w:w="843" w:type="pct"/>
            <w:shd w:val="clear" w:color="auto" w:fill="auto"/>
            <w:vAlign w:val="center"/>
          </w:tcPr>
          <w:p w14:paraId="6497EFDA">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PAC</w:t>
            </w:r>
          </w:p>
        </w:tc>
        <w:tc>
          <w:tcPr>
            <w:tcW w:w="1509" w:type="pct"/>
            <w:shd w:val="clear" w:color="auto" w:fill="auto"/>
            <w:vAlign w:val="center"/>
          </w:tcPr>
          <w:p w14:paraId="76356894">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聚合氯化铝</w:t>
            </w:r>
          </w:p>
        </w:tc>
        <w:tc>
          <w:tcPr>
            <w:tcW w:w="914" w:type="pct"/>
            <w:shd w:val="clear" w:color="auto" w:fill="auto"/>
            <w:vAlign w:val="center"/>
          </w:tcPr>
          <w:p w14:paraId="20F4A659">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0.3t/a</w:t>
            </w:r>
          </w:p>
        </w:tc>
        <w:tc>
          <w:tcPr>
            <w:tcW w:w="448" w:type="pct"/>
            <w:vMerge w:val="continue"/>
          </w:tcPr>
          <w:p w14:paraId="49002546">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943" w:type="pct"/>
            <w:vMerge w:val="continue"/>
          </w:tcPr>
          <w:p w14:paraId="18794743">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r w14:paraId="36C0A3E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0" w:type="auto"/>
            <w:shd w:val="clear" w:color="auto" w:fill="auto"/>
            <w:vAlign w:val="center"/>
          </w:tcPr>
          <w:p w14:paraId="0ED48120">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22</w:t>
            </w:r>
          </w:p>
        </w:tc>
        <w:tc>
          <w:tcPr>
            <w:tcW w:w="843" w:type="pct"/>
            <w:shd w:val="clear" w:color="auto" w:fill="auto"/>
            <w:vAlign w:val="center"/>
          </w:tcPr>
          <w:p w14:paraId="0F16EFD6">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PAM</w:t>
            </w:r>
          </w:p>
        </w:tc>
        <w:tc>
          <w:tcPr>
            <w:tcW w:w="1509" w:type="pct"/>
            <w:shd w:val="clear" w:color="auto" w:fill="auto"/>
            <w:vAlign w:val="center"/>
          </w:tcPr>
          <w:p w14:paraId="7F897B3A">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聚丙烯酰胺</w:t>
            </w:r>
          </w:p>
        </w:tc>
        <w:tc>
          <w:tcPr>
            <w:tcW w:w="914" w:type="pct"/>
            <w:shd w:val="clear" w:color="auto" w:fill="auto"/>
            <w:vAlign w:val="center"/>
          </w:tcPr>
          <w:p w14:paraId="79D9BB6D">
            <w:pPr>
              <w:pStyle w:val="76"/>
              <w:keepNext w:val="0"/>
              <w:keepLines w:val="0"/>
              <w:pageBreakBefore w:val="0"/>
              <w:widowControl/>
              <w:kinsoku/>
              <w:wordWrap/>
              <w:overflowPunct/>
              <w:topLinePunct w:val="0"/>
              <w:bidi w:val="0"/>
              <w:snapToGrid/>
              <w:spacing w:before="22" w:line="240" w:lineRule="auto"/>
              <w:ind w:left="32" w:leftChars="0" w:right="18" w:rightChars="0"/>
              <w:jc w:val="center"/>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0.15t/a</w:t>
            </w:r>
          </w:p>
        </w:tc>
        <w:tc>
          <w:tcPr>
            <w:tcW w:w="448" w:type="pct"/>
            <w:vMerge w:val="continue"/>
          </w:tcPr>
          <w:p w14:paraId="230B33C5">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c>
          <w:tcPr>
            <w:tcW w:w="943" w:type="pct"/>
            <w:vMerge w:val="continue"/>
          </w:tcPr>
          <w:p w14:paraId="4F0BBEAF">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p>
        </w:tc>
      </w:tr>
    </w:tbl>
    <w:p w14:paraId="564536B1">
      <w:pPr>
        <w:pStyle w:val="5"/>
        <w:keepNext/>
        <w:keepLines/>
        <w:pageBreakBefore w:val="0"/>
        <w:widowControl w:val="0"/>
        <w:kinsoku/>
        <w:wordWrap/>
        <w:overflowPunct/>
        <w:topLinePunct w:val="0"/>
        <w:autoSpaceDE/>
        <w:autoSpaceDN/>
        <w:bidi w:val="0"/>
        <w:adjustRightInd w:val="0"/>
        <w:snapToGrid w:val="0"/>
        <w:spacing w:before="0" w:after="0" w:line="480" w:lineRule="exact"/>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3.4水源及水平衡</w:t>
      </w:r>
      <w:bookmarkEnd w:id="11"/>
    </w:p>
    <w:p w14:paraId="38D41509">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outlineLvl w:val="2"/>
        <w:rPr>
          <w:rFonts w:hint="default" w:ascii="Times New Roman" w:hAnsi="Times New Roman" w:eastAsia="宋体" w:cs="Times New Roman"/>
          <w:b/>
          <w:bCs/>
          <w:color w:val="auto"/>
          <w:sz w:val="24"/>
          <w:szCs w:val="24"/>
          <w:highlight w:val="none"/>
          <w:vertAlign w:val="superscript"/>
        </w:rPr>
      </w:pPr>
      <w:r>
        <w:rPr>
          <w:rFonts w:hint="default" w:ascii="Times New Roman" w:hAnsi="Times New Roman" w:eastAsia="宋体" w:cs="Times New Roman"/>
          <w:b/>
          <w:bCs/>
          <w:color w:val="auto"/>
          <w:sz w:val="24"/>
          <w:szCs w:val="24"/>
          <w:highlight w:val="none"/>
        </w:rPr>
        <w:t>3.4.1</w:t>
      </w:r>
      <w:r>
        <w:rPr>
          <w:rFonts w:hint="default" w:ascii="Times New Roman" w:hAnsi="Times New Roman" w:eastAsia="宋体" w:cs="Times New Roman"/>
          <w:b/>
          <w:bCs/>
          <w:color w:val="auto"/>
          <w:sz w:val="24"/>
          <w:szCs w:val="24"/>
          <w:highlight w:val="none"/>
          <w:lang w:val="en-US" w:eastAsia="zh-CN"/>
        </w:rPr>
        <w:t>环评中</w:t>
      </w:r>
      <w:r>
        <w:rPr>
          <w:rFonts w:hint="default" w:ascii="Times New Roman" w:hAnsi="Times New Roman" w:eastAsia="宋体" w:cs="Times New Roman"/>
          <w:b/>
          <w:bCs/>
          <w:color w:val="auto"/>
          <w:sz w:val="24"/>
          <w:szCs w:val="24"/>
          <w:highlight w:val="none"/>
        </w:rPr>
        <w:t>给</w:t>
      </w:r>
      <w:r>
        <w:rPr>
          <w:rFonts w:hint="default" w:ascii="Times New Roman" w:hAnsi="Times New Roman" w:eastAsia="宋体" w:cs="Times New Roman"/>
          <w:b/>
          <w:bCs/>
          <w:color w:val="auto"/>
          <w:sz w:val="24"/>
          <w:szCs w:val="24"/>
          <w:highlight w:val="none"/>
          <w:lang w:val="en-US" w:eastAsia="zh-CN"/>
        </w:rPr>
        <w:t>排</w:t>
      </w:r>
      <w:r>
        <w:rPr>
          <w:rFonts w:hint="default" w:ascii="Times New Roman" w:hAnsi="Times New Roman" w:eastAsia="宋体" w:cs="Times New Roman"/>
          <w:b/>
          <w:bCs/>
          <w:color w:val="auto"/>
          <w:sz w:val="24"/>
          <w:szCs w:val="24"/>
          <w:highlight w:val="none"/>
        </w:rPr>
        <w:t>水</w:t>
      </w:r>
    </w:p>
    <w:p w14:paraId="4B3D730F">
      <w:pPr>
        <w:spacing w:line="360" w:lineRule="auto"/>
        <w:ind w:firstLine="480" w:firstLineChars="20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（1）给水</w:t>
      </w:r>
    </w:p>
    <w:p w14:paraId="33EDE95D">
      <w:pPr>
        <w:widowControl w:val="0"/>
        <w:spacing w:line="360" w:lineRule="auto"/>
        <w:ind w:firstLine="480" w:firstLineChars="200"/>
        <w:jc w:val="both"/>
        <w:rPr>
          <w:rFonts w:hint="default" w:ascii="Times New Roman" w:hAnsi="Times New Roman" w:eastAsia="宋体" w:cs="Times New Roman"/>
          <w:color w:val="000000" w:themeColor="text1"/>
          <w:kern w:val="0"/>
          <w:sz w:val="24"/>
          <w:szCs w:val="20"/>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项目由</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孙各庄村自来水管网</w:t>
      </w:r>
      <w:r>
        <w:rPr>
          <w:rFonts w:hint="default" w:ascii="Times New Roman" w:hAnsi="Times New Roman" w:eastAsia="宋体" w:cs="Times New Roman"/>
          <w:color w:val="000000" w:themeColor="text1"/>
          <w:sz w:val="24"/>
          <w:highlight w:val="none"/>
          <w14:textFill>
            <w14:solidFill>
              <w14:schemeClr w14:val="tx1"/>
            </w14:solidFill>
          </w14:textFill>
        </w:rPr>
        <w:t>供水，</w:t>
      </w:r>
      <w:r>
        <w:rPr>
          <w:rFonts w:hint="default" w:ascii="Times New Roman" w:hAnsi="Times New Roman" w:eastAsia="宋体" w:cs="Times New Roman"/>
          <w:color w:val="000000" w:themeColor="text1"/>
          <w:kern w:val="0"/>
          <w:sz w:val="24"/>
          <w:szCs w:val="20"/>
          <w:highlight w:val="none"/>
          <w14:textFill>
            <w14:solidFill>
              <w14:schemeClr w14:val="tx1"/>
            </w14:solidFill>
          </w14:textFill>
        </w:rPr>
        <w:t>总用水量为</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2.84</w:t>
      </w:r>
      <w:r>
        <w:rPr>
          <w:rFonts w:hint="default" w:ascii="Times New Roman" w:hAnsi="Times New Roman" w:eastAsia="宋体" w:cs="Times New Roman"/>
          <w:color w:val="000000" w:themeColor="text1"/>
          <w:kern w:val="0"/>
          <w:sz w:val="24"/>
          <w:szCs w:val="20"/>
          <w:highlight w:val="none"/>
          <w14:textFill>
            <w14:solidFill>
              <w14:schemeClr w14:val="tx1"/>
            </w14:solidFill>
          </w14:textFill>
        </w:rPr>
        <w:t>m</w:t>
      </w:r>
      <w:r>
        <w:rPr>
          <w:rFonts w:hint="default" w:ascii="Times New Roman" w:hAnsi="Times New Roman" w:eastAsia="宋体" w:cs="Times New Roman"/>
          <w:color w:val="000000" w:themeColor="text1"/>
          <w:kern w:val="0"/>
          <w:sz w:val="24"/>
          <w:szCs w:val="20"/>
          <w:highlight w:val="none"/>
          <w:vertAlign w:val="superscript"/>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14:textFill>
            <w14:solidFill>
              <w14:schemeClr w14:val="tx1"/>
            </w14:solidFill>
          </w14:textFill>
        </w:rPr>
        <w:t>/d（全年用量</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710</w:t>
      </w:r>
      <w:r>
        <w:rPr>
          <w:rFonts w:hint="default" w:ascii="Times New Roman" w:hAnsi="Times New Roman" w:eastAsia="宋体" w:cs="Times New Roman"/>
          <w:color w:val="000000" w:themeColor="text1"/>
          <w:kern w:val="0"/>
          <w:sz w:val="24"/>
          <w:szCs w:val="20"/>
          <w:highlight w:val="none"/>
          <w14:textFill>
            <w14:solidFill>
              <w14:schemeClr w14:val="tx1"/>
            </w14:solidFill>
          </w14:textFill>
        </w:rPr>
        <w:t>m</w:t>
      </w:r>
      <w:r>
        <w:rPr>
          <w:rFonts w:hint="default" w:ascii="Times New Roman" w:hAnsi="Times New Roman" w:eastAsia="宋体" w:cs="Times New Roman"/>
          <w:color w:val="000000" w:themeColor="text1"/>
          <w:kern w:val="0"/>
          <w:sz w:val="24"/>
          <w:szCs w:val="20"/>
          <w:highlight w:val="none"/>
          <w:vertAlign w:val="superscript"/>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14:textFill>
            <w14:solidFill>
              <w14:schemeClr w14:val="tx1"/>
            </w14:solidFill>
          </w14:textFill>
        </w:rPr>
        <w:t>/a）。</w:t>
      </w:r>
    </w:p>
    <w:p w14:paraId="71C60440">
      <w:pPr>
        <w:spacing w:line="360" w:lineRule="auto"/>
        <w:ind w:firstLine="480" w:firstLineChars="200"/>
        <w:jc w:val="both"/>
        <w:rPr>
          <w:rFonts w:hint="default" w:ascii="Times New Roman" w:hAnsi="Times New Roman" w:eastAsia="宋体" w:cs="Times New Roman"/>
          <w:color w:val="auto"/>
          <w:kern w:val="0"/>
          <w:sz w:val="24"/>
          <w:szCs w:val="20"/>
          <w:highlight w:val="none"/>
        </w:rPr>
      </w:pP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项目用水主要为员工生活用水和</w:t>
      </w:r>
      <w:r>
        <w:rPr>
          <w:rFonts w:hint="default" w:ascii="Times New Roman" w:hAnsi="Times New Roman" w:eastAsia="宋体" w:cs="Times New Roman"/>
          <w:color w:val="000000" w:themeColor="text1"/>
          <w:kern w:val="0"/>
          <w:sz w:val="24"/>
          <w:szCs w:val="20"/>
          <w:highlight w:val="none"/>
          <w14:textFill>
            <w14:solidFill>
              <w14:schemeClr w14:val="tx1"/>
            </w14:solidFill>
          </w14:textFill>
        </w:rPr>
        <w:t>生产用水</w:t>
      </w:r>
      <w:r>
        <w:rPr>
          <w:rFonts w:hint="default" w:ascii="Times New Roman" w:hAnsi="Times New Roman" w:eastAsia="宋体" w:cs="Times New Roman"/>
          <w:color w:val="000000" w:themeColor="text1"/>
          <w:kern w:val="0"/>
          <w:sz w:val="24"/>
          <w:szCs w:val="20"/>
          <w:highlight w:val="none"/>
          <w:lang w:eastAsia="zh-CN"/>
          <w14:textFill>
            <w14:solidFill>
              <w14:schemeClr w14:val="tx1"/>
            </w14:solidFill>
          </w14:textFill>
        </w:rPr>
        <w:t>，</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生产用水</w:t>
      </w:r>
      <w:r>
        <w:rPr>
          <w:rFonts w:hint="default" w:ascii="Times New Roman" w:hAnsi="Times New Roman" w:eastAsia="宋体" w:cs="Times New Roman"/>
          <w:color w:val="000000" w:themeColor="text1"/>
          <w:kern w:val="0"/>
          <w:sz w:val="24"/>
          <w:szCs w:val="20"/>
          <w:highlight w:val="none"/>
          <w14:textFill>
            <w14:solidFill>
              <w14:schemeClr w14:val="tx1"/>
            </w14:solidFill>
          </w14:textFill>
        </w:rPr>
        <w:t>主要为</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纯水制备用水（制备的纯水用作脱脂槽液补充水、清洗补充水、阳极氧化槽补充水</w:t>
      </w:r>
      <w:r>
        <w:rPr>
          <w:rFonts w:hint="default" w:ascii="Times New Roman" w:hAnsi="Times New Roman" w:eastAsia="宋体" w:cs="Times New Roman"/>
          <w:color w:val="000000" w:themeColor="text1"/>
          <w:kern w:val="0"/>
          <w:sz w:val="24"/>
          <w:szCs w:val="20"/>
          <w:highlight w:val="none"/>
          <w14:textFill>
            <w14:solidFill>
              <w14:schemeClr w14:val="tx1"/>
            </w14:solidFill>
          </w14:textFill>
        </w:rPr>
        <w:t>、</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封闭槽补充水）、喷淋塔补充水、阳极氧化车间地面保洁用</w:t>
      </w:r>
      <w:r>
        <w:rPr>
          <w:rFonts w:hint="default" w:ascii="Times New Roman" w:hAnsi="Times New Roman" w:eastAsia="宋体" w:cs="Times New Roman"/>
          <w:color w:val="auto"/>
          <w:kern w:val="0"/>
          <w:sz w:val="24"/>
          <w:szCs w:val="20"/>
          <w:highlight w:val="none"/>
          <w:lang w:val="en-US" w:eastAsia="zh-CN"/>
        </w:rPr>
        <w:t>水</w:t>
      </w:r>
      <w:r>
        <w:rPr>
          <w:rFonts w:hint="default" w:ascii="Times New Roman" w:hAnsi="Times New Roman" w:eastAsia="宋体" w:cs="Times New Roman"/>
          <w:color w:val="auto"/>
          <w:kern w:val="0"/>
          <w:sz w:val="24"/>
          <w:szCs w:val="20"/>
          <w:highlight w:val="none"/>
        </w:rPr>
        <w:t>；</w:t>
      </w:r>
      <w:r>
        <w:rPr>
          <w:rFonts w:hint="default" w:ascii="Times New Roman" w:hAnsi="Times New Roman" w:eastAsia="宋体" w:cs="Times New Roman"/>
          <w:color w:val="auto"/>
          <w:sz w:val="24"/>
          <w:szCs w:val="20"/>
          <w:highlight w:val="none"/>
        </w:rPr>
        <w:t>项目不设宿舍、食堂</w:t>
      </w:r>
      <w:r>
        <w:rPr>
          <w:rFonts w:hint="default" w:ascii="Times New Roman" w:hAnsi="Times New Roman" w:eastAsia="宋体" w:cs="Times New Roman"/>
          <w:color w:val="auto"/>
          <w:sz w:val="24"/>
          <w:szCs w:val="20"/>
          <w:highlight w:val="none"/>
          <w:lang w:eastAsia="zh-CN"/>
        </w:rPr>
        <w:t>、</w:t>
      </w:r>
      <w:r>
        <w:rPr>
          <w:rFonts w:hint="default" w:ascii="Times New Roman" w:hAnsi="Times New Roman" w:eastAsia="宋体" w:cs="Times New Roman"/>
          <w:color w:val="auto"/>
          <w:sz w:val="24"/>
          <w:szCs w:val="20"/>
          <w:highlight w:val="none"/>
          <w:lang w:val="en-US" w:eastAsia="zh-CN"/>
        </w:rPr>
        <w:t>浴室</w:t>
      </w:r>
      <w:r>
        <w:rPr>
          <w:rFonts w:hint="default" w:ascii="Times New Roman" w:hAnsi="Times New Roman" w:eastAsia="宋体" w:cs="Times New Roman"/>
          <w:color w:val="auto"/>
          <w:kern w:val="0"/>
          <w:sz w:val="24"/>
          <w:szCs w:val="20"/>
          <w:highlight w:val="none"/>
        </w:rPr>
        <w:t>。</w:t>
      </w:r>
    </w:p>
    <w:p w14:paraId="45E2E833">
      <w:pPr>
        <w:spacing w:line="360" w:lineRule="auto"/>
        <w:ind w:firstLine="480" w:firstLineChars="200"/>
        <w:jc w:val="both"/>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①生活用水：本次项目劳动定员15人，用水标准为30L/d·人，年工作250d，日用水量0.45m</w:t>
      </w:r>
      <w:r>
        <w:rPr>
          <w:rFonts w:hint="default" w:ascii="Times New Roman" w:hAnsi="Times New Roman" w:eastAsia="宋体" w:cs="Times New Roman"/>
          <w:color w:val="000000" w:themeColor="text1"/>
          <w:kern w:val="0"/>
          <w:sz w:val="24"/>
          <w:szCs w:val="20"/>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vertAlign w:val="baseline"/>
          <w:lang w:val="en-US" w:eastAsia="zh-CN"/>
          <w14:textFill>
            <w14:solidFill>
              <w14:schemeClr w14:val="tx1"/>
            </w14:solidFill>
          </w14:textFill>
        </w:rPr>
        <w:t>/d</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，年用水量为112.5m</w:t>
      </w:r>
      <w:r>
        <w:rPr>
          <w:rFonts w:hint="default" w:ascii="Times New Roman" w:hAnsi="Times New Roman" w:eastAsia="宋体" w:cs="Times New Roman"/>
          <w:color w:val="000000" w:themeColor="text1"/>
          <w:kern w:val="0"/>
          <w:sz w:val="24"/>
          <w:szCs w:val="20"/>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vertAlign w:val="baseline"/>
          <w:lang w:val="en-US" w:eastAsia="zh-CN"/>
          <w14:textFill>
            <w14:solidFill>
              <w14:schemeClr w14:val="tx1"/>
            </w14:solidFill>
          </w14:textFill>
        </w:rPr>
        <w:t>/a</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w:t>
      </w:r>
    </w:p>
    <w:p w14:paraId="0760C3BA">
      <w:pPr>
        <w:spacing w:line="360" w:lineRule="auto"/>
        <w:ind w:firstLine="480" w:firstLineChars="200"/>
        <w:jc w:val="both"/>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②阳极氧化车间地面保洁用水：项目规划每7天对阳极氧化车间进行湿式保洁，其他车间采用干式保洁，保洁用水取</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3L/m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highlight w:val="none"/>
          <w:vertAlign w:val="baseline"/>
          <w:lang w:val="en-US" w:eastAsia="zh-CN"/>
          <w14:textFill>
            <w14:solidFill>
              <w14:schemeClr w14:val="tx1"/>
            </w14:solidFill>
          </w14:textFill>
        </w:rPr>
        <w:t>·d，阳极氧化车间面积约315m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highlight w:val="none"/>
          <w:vertAlign w:val="baseline"/>
          <w:lang w:val="en-US" w:eastAsia="zh-CN"/>
          <w14:textFill>
            <w14:solidFill>
              <w14:schemeClr w14:val="tx1"/>
            </w14:solidFill>
          </w14:textFill>
        </w:rPr>
        <w:t>，</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日用水量0.136m</w:t>
      </w:r>
      <w:r>
        <w:rPr>
          <w:rFonts w:hint="default" w:ascii="Times New Roman" w:hAnsi="Times New Roman" w:eastAsia="宋体" w:cs="Times New Roman"/>
          <w:color w:val="000000" w:themeColor="text1"/>
          <w:kern w:val="0"/>
          <w:sz w:val="24"/>
          <w:szCs w:val="20"/>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vertAlign w:val="baseline"/>
          <w:lang w:val="en-US" w:eastAsia="zh-CN"/>
          <w14:textFill>
            <w14:solidFill>
              <w14:schemeClr w14:val="tx1"/>
            </w14:solidFill>
          </w14:textFill>
        </w:rPr>
        <w:t>/d</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，年用水量为34m</w:t>
      </w:r>
      <w:r>
        <w:rPr>
          <w:rFonts w:hint="default" w:ascii="Times New Roman" w:hAnsi="Times New Roman" w:eastAsia="宋体" w:cs="Times New Roman"/>
          <w:color w:val="000000" w:themeColor="text1"/>
          <w:kern w:val="0"/>
          <w:sz w:val="24"/>
          <w:szCs w:val="20"/>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vertAlign w:val="baseline"/>
          <w:lang w:val="en-US" w:eastAsia="zh-CN"/>
          <w14:textFill>
            <w14:solidFill>
              <w14:schemeClr w14:val="tx1"/>
            </w14:solidFill>
          </w14:textFill>
        </w:rPr>
        <w:t>/a</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。车间冲洗用水均来自纯水制备尾水。</w:t>
      </w:r>
    </w:p>
    <w:p w14:paraId="6FC643EF">
      <w:pPr>
        <w:spacing w:line="360" w:lineRule="auto"/>
        <w:ind w:firstLine="480" w:firstLineChars="200"/>
        <w:jc w:val="both"/>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③生产线用水：本项目生产线用水主要为脱脂槽液补充水、清洗补充水、阳极氧化槽补充水</w:t>
      </w:r>
      <w:r>
        <w:rPr>
          <w:rFonts w:hint="default" w:ascii="Times New Roman" w:hAnsi="Times New Roman" w:eastAsia="宋体" w:cs="Times New Roman"/>
          <w:color w:val="000000" w:themeColor="text1"/>
          <w:kern w:val="0"/>
          <w:sz w:val="24"/>
          <w:szCs w:val="20"/>
          <w:highlight w:val="none"/>
          <w14:textFill>
            <w14:solidFill>
              <w14:schemeClr w14:val="tx1"/>
            </w14:solidFill>
          </w14:textFill>
        </w:rPr>
        <w:t>、</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封闭槽补充水，各槽体更换时补充水以及槽体清洗用水，生产线使用均为纯水。具体情况如下：</w:t>
      </w:r>
    </w:p>
    <w:p w14:paraId="2109B191">
      <w:pPr>
        <w:keepNext w:val="0"/>
        <w:keepLines w:val="0"/>
        <w:pageBreakBefore w:val="0"/>
        <w:widowControl w:val="0"/>
        <w:kinsoku/>
        <w:wordWrap/>
        <w:overflowPunct/>
        <w:topLinePunct w:val="0"/>
        <w:autoSpaceDE/>
        <w:autoSpaceDN/>
        <w:bidi w:val="0"/>
        <w:adjustRightInd w:val="0"/>
        <w:snapToGrid w:val="0"/>
        <w:spacing w:line="480" w:lineRule="exact"/>
        <w:jc w:val="center"/>
        <w:textAlignment w:val="auto"/>
        <w:rPr>
          <w:rFonts w:hint="eastAsia" w:ascii="Times New Roman" w:hAnsi="Times New Roman" w:eastAsiaTheme="minorEastAsia"/>
          <w:b/>
          <w:color w:val="auto"/>
          <w:sz w:val="24"/>
          <w:szCs w:val="24"/>
          <w:highlight w:val="none"/>
          <w:lang w:val="en-US" w:eastAsia="zh-CN"/>
        </w:rPr>
      </w:pPr>
    </w:p>
    <w:p w14:paraId="30A06DA1">
      <w:pPr>
        <w:keepNext w:val="0"/>
        <w:keepLines w:val="0"/>
        <w:pageBreakBefore w:val="0"/>
        <w:widowControl w:val="0"/>
        <w:kinsoku/>
        <w:wordWrap/>
        <w:overflowPunct/>
        <w:topLinePunct w:val="0"/>
        <w:autoSpaceDE/>
        <w:autoSpaceDN/>
        <w:bidi w:val="0"/>
        <w:adjustRightInd w:val="0"/>
        <w:snapToGrid w:val="0"/>
        <w:spacing w:line="480" w:lineRule="exact"/>
        <w:jc w:val="center"/>
        <w:textAlignment w:val="auto"/>
        <w:rPr>
          <w:rFonts w:hint="eastAsia" w:ascii="Times New Roman" w:hAnsi="Times New Roman" w:eastAsiaTheme="minorEastAsia"/>
          <w:b/>
          <w:color w:val="auto"/>
          <w:sz w:val="24"/>
          <w:szCs w:val="24"/>
          <w:highlight w:val="none"/>
          <w:lang w:val="en-US" w:eastAsia="zh-CN"/>
        </w:rPr>
      </w:pPr>
      <w:r>
        <w:rPr>
          <w:rFonts w:hint="eastAsia" w:ascii="Times New Roman" w:hAnsi="Times New Roman" w:eastAsiaTheme="minorEastAsia"/>
          <w:b/>
          <w:color w:val="auto"/>
          <w:sz w:val="24"/>
          <w:szCs w:val="24"/>
          <w:highlight w:val="none"/>
          <w:lang w:val="en-US" w:eastAsia="zh-CN"/>
        </w:rPr>
        <w:t>表3-5  生产线纯水用水情况表</w:t>
      </w:r>
    </w:p>
    <w:tbl>
      <w:tblPr>
        <w:tblStyle w:val="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856"/>
        <w:gridCol w:w="4748"/>
        <w:gridCol w:w="1169"/>
        <w:gridCol w:w="1275"/>
      </w:tblGrid>
      <w:tr w14:paraId="354E8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 w:type="pct"/>
            <w:vAlign w:val="center"/>
          </w:tcPr>
          <w:p w14:paraId="219E4DAD">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color w:val="000000" w:themeColor="text1"/>
                <w:sz w:val="21"/>
                <w:szCs w:val="21"/>
                <w:highlight w:val="none"/>
                <w:lang w:val="en-US" w:eastAsia="zh-CN"/>
                <w14:textFill>
                  <w14:solidFill>
                    <w14:schemeClr w14:val="tx1"/>
                  </w14:solidFill>
                </w14:textFill>
              </w:rPr>
              <w:t>序号</w:t>
            </w:r>
          </w:p>
        </w:tc>
        <w:tc>
          <w:tcPr>
            <w:tcW w:w="501" w:type="pct"/>
            <w:vAlign w:val="center"/>
          </w:tcPr>
          <w:p w14:paraId="65F84F85">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color w:val="000000" w:themeColor="text1"/>
                <w:sz w:val="21"/>
                <w:szCs w:val="21"/>
                <w:highlight w:val="none"/>
                <w:lang w:val="en-US" w:eastAsia="zh-CN"/>
                <w14:textFill>
                  <w14:solidFill>
                    <w14:schemeClr w14:val="tx1"/>
                  </w14:solidFill>
                </w14:textFill>
              </w:rPr>
              <w:t>名称</w:t>
            </w:r>
          </w:p>
        </w:tc>
        <w:tc>
          <w:tcPr>
            <w:tcW w:w="2786" w:type="pct"/>
            <w:vAlign w:val="center"/>
          </w:tcPr>
          <w:p w14:paraId="304028C6">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color w:val="000000" w:themeColor="text1"/>
                <w:sz w:val="21"/>
                <w:szCs w:val="21"/>
                <w:highlight w:val="none"/>
                <w:lang w:val="en-US" w:eastAsia="zh-CN"/>
                <w14:textFill>
                  <w14:solidFill>
                    <w14:schemeClr w14:val="tx1"/>
                  </w14:solidFill>
                </w14:textFill>
              </w:rPr>
              <w:t>用水情况</w:t>
            </w:r>
          </w:p>
        </w:tc>
        <w:tc>
          <w:tcPr>
            <w:tcW w:w="686" w:type="pct"/>
            <w:vAlign w:val="center"/>
          </w:tcPr>
          <w:p w14:paraId="58ACC7B1">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color w:val="000000" w:themeColor="text1"/>
                <w:sz w:val="21"/>
                <w:szCs w:val="21"/>
                <w:highlight w:val="none"/>
                <w:lang w:val="en-US" w:eastAsia="zh-CN"/>
                <w14:textFill>
                  <w14:solidFill>
                    <w14:schemeClr w14:val="tx1"/>
                  </w14:solidFill>
                </w14:textFill>
              </w:rPr>
              <w:t>日用水情况（m</w:t>
            </w:r>
            <w:r>
              <w:rPr>
                <w:rFonts w:hint="default" w:ascii="Times New Roman" w:hAnsi="Times New Roman" w:eastAsia="宋体" w:cs="Times New Roman"/>
                <w:b/>
                <w:color w:val="000000" w:themeColor="text1"/>
                <w:sz w:val="21"/>
                <w:szCs w:val="21"/>
                <w:highlight w:val="none"/>
                <w:vertAlign w:val="superscript"/>
                <w:lang w:val="en-US" w:eastAsia="zh-CN"/>
                <w14:textFill>
                  <w14:solidFill>
                    <w14:schemeClr w14:val="tx1"/>
                  </w14:solidFill>
                </w14:textFill>
              </w:rPr>
              <w:t>3</w:t>
            </w:r>
            <w:r>
              <w:rPr>
                <w:rFonts w:hint="default" w:ascii="Times New Roman" w:hAnsi="Times New Roman" w:eastAsia="宋体" w:cs="Times New Roman"/>
                <w:b/>
                <w:color w:val="000000" w:themeColor="text1"/>
                <w:sz w:val="21"/>
                <w:szCs w:val="21"/>
                <w:highlight w:val="none"/>
                <w:lang w:val="en-US" w:eastAsia="zh-CN"/>
                <w14:textFill>
                  <w14:solidFill>
                    <w14:schemeClr w14:val="tx1"/>
                  </w14:solidFill>
                </w14:textFill>
              </w:rPr>
              <w:t>）</w:t>
            </w:r>
          </w:p>
        </w:tc>
        <w:tc>
          <w:tcPr>
            <w:tcW w:w="748" w:type="pct"/>
            <w:vAlign w:val="center"/>
          </w:tcPr>
          <w:p w14:paraId="638C4DB1">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color w:val="000000" w:themeColor="text1"/>
                <w:sz w:val="21"/>
                <w:szCs w:val="21"/>
                <w:highlight w:val="none"/>
                <w:lang w:val="en-US" w:eastAsia="zh-CN"/>
                <w14:textFill>
                  <w14:solidFill>
                    <w14:schemeClr w14:val="tx1"/>
                  </w14:solidFill>
                </w14:textFill>
              </w:rPr>
              <w:t>年用水情况（m</w:t>
            </w:r>
            <w:r>
              <w:rPr>
                <w:rFonts w:hint="default" w:ascii="Times New Roman" w:hAnsi="Times New Roman" w:eastAsia="宋体" w:cs="Times New Roman"/>
                <w:b/>
                <w:color w:val="000000" w:themeColor="text1"/>
                <w:sz w:val="21"/>
                <w:szCs w:val="21"/>
                <w:highlight w:val="none"/>
                <w:vertAlign w:val="superscript"/>
                <w:lang w:val="en-US" w:eastAsia="zh-CN"/>
                <w14:textFill>
                  <w14:solidFill>
                    <w14:schemeClr w14:val="tx1"/>
                  </w14:solidFill>
                </w14:textFill>
              </w:rPr>
              <w:t>3</w:t>
            </w:r>
            <w:r>
              <w:rPr>
                <w:rFonts w:hint="default" w:ascii="Times New Roman" w:hAnsi="Times New Roman" w:eastAsia="宋体" w:cs="Times New Roman"/>
                <w:b/>
                <w:color w:val="000000" w:themeColor="text1"/>
                <w:sz w:val="21"/>
                <w:szCs w:val="21"/>
                <w:highlight w:val="none"/>
                <w:lang w:val="en-US" w:eastAsia="zh-CN"/>
                <w14:textFill>
                  <w14:solidFill>
                    <w14:schemeClr w14:val="tx1"/>
                  </w14:solidFill>
                </w14:textFill>
              </w:rPr>
              <w:t>）</w:t>
            </w:r>
          </w:p>
        </w:tc>
      </w:tr>
      <w:tr w14:paraId="36613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7" w:hRule="atLeast"/>
        </w:trPr>
        <w:tc>
          <w:tcPr>
            <w:tcW w:w="277" w:type="pct"/>
            <w:vAlign w:val="center"/>
          </w:tcPr>
          <w:p w14:paraId="450DE661">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1</w:t>
            </w:r>
          </w:p>
        </w:tc>
        <w:tc>
          <w:tcPr>
            <w:tcW w:w="501" w:type="pct"/>
            <w:vAlign w:val="center"/>
          </w:tcPr>
          <w:p w14:paraId="7B5B89EC">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脱脂槽补充水</w:t>
            </w:r>
          </w:p>
        </w:tc>
        <w:tc>
          <w:tcPr>
            <w:tcW w:w="2786" w:type="pct"/>
            <w:vAlign w:val="center"/>
          </w:tcPr>
          <w:p w14:paraId="0EAE432D">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项目设置1个脱脂槽</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14:textFill>
                  <w14:solidFill>
                    <w14:schemeClr w14:val="tx1"/>
                  </w14:solidFill>
                </w14:textFill>
              </w:rPr>
              <w:t>平均每天</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损耗水量按池体有效槽液量的10%进行计算为0.3</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/d，</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75</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/a</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槽液</w:t>
            </w:r>
            <w:r>
              <w:rPr>
                <w:rFonts w:hint="default" w:ascii="Times New Roman" w:hAnsi="Times New Roman" w:eastAsia="宋体" w:cs="Times New Roman"/>
                <w:color w:val="000000" w:themeColor="text1"/>
                <w:sz w:val="21"/>
                <w:szCs w:val="21"/>
                <w:highlight w:val="none"/>
                <w14:textFill>
                  <w14:solidFill>
                    <w14:schemeClr w14:val="tx1"/>
                  </w14:solidFill>
                </w14:textFill>
              </w:rPr>
              <w:t>更换频次为</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3个月1次</w:t>
            </w:r>
            <w:r>
              <w:rPr>
                <w:rFonts w:hint="default" w:ascii="Times New Roman" w:hAnsi="Times New Roman" w:eastAsia="宋体" w:cs="Times New Roman"/>
                <w:color w:val="000000" w:themeColor="text1"/>
                <w:sz w:val="21"/>
                <w:szCs w:val="21"/>
                <w:highlight w:val="none"/>
                <w14:textFill>
                  <w14:solidFill>
                    <w14:schemeClr w14:val="tx1"/>
                  </w14:solidFill>
                </w14:textFill>
              </w:rPr>
              <w:t>，年更换</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4</w:t>
            </w:r>
            <w:r>
              <w:rPr>
                <w:rFonts w:hint="default" w:ascii="Times New Roman" w:hAnsi="Times New Roman" w:eastAsia="宋体" w:cs="Times New Roman"/>
                <w:color w:val="000000" w:themeColor="text1"/>
                <w:sz w:val="21"/>
                <w:szCs w:val="21"/>
                <w:highlight w:val="none"/>
                <w14:textFill>
                  <w14:solidFill>
                    <w14:schemeClr w14:val="tx1"/>
                  </w14:solidFill>
                </w14:textFill>
              </w:rPr>
              <w:t>次，</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年更换用水量为12</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。则年用水量为87</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日平均用水量为0.35</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p>
        </w:tc>
        <w:tc>
          <w:tcPr>
            <w:tcW w:w="686" w:type="pct"/>
            <w:vAlign w:val="center"/>
          </w:tcPr>
          <w:p w14:paraId="2674426D">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0.35</w:t>
            </w:r>
          </w:p>
        </w:tc>
        <w:tc>
          <w:tcPr>
            <w:tcW w:w="748" w:type="pct"/>
            <w:vAlign w:val="center"/>
          </w:tcPr>
          <w:p w14:paraId="0FE8FFEE">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87.0</w:t>
            </w:r>
          </w:p>
        </w:tc>
      </w:tr>
      <w:tr w14:paraId="7617C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3" w:hRule="atLeast"/>
        </w:trPr>
        <w:tc>
          <w:tcPr>
            <w:tcW w:w="277" w:type="pct"/>
            <w:vAlign w:val="center"/>
          </w:tcPr>
          <w:p w14:paraId="20FB81A3">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2</w:t>
            </w:r>
          </w:p>
        </w:tc>
        <w:tc>
          <w:tcPr>
            <w:tcW w:w="501" w:type="pct"/>
            <w:vAlign w:val="center"/>
          </w:tcPr>
          <w:p w14:paraId="5E30EA2F">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水洗槽①补充水</w:t>
            </w:r>
          </w:p>
        </w:tc>
        <w:tc>
          <w:tcPr>
            <w:tcW w:w="2786" w:type="pct"/>
            <w:vAlign w:val="center"/>
          </w:tcPr>
          <w:p w14:paraId="18932EAE">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脱脂水洗槽①</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14:textFill>
                  <w14:solidFill>
                    <w14:schemeClr w14:val="tx1"/>
                  </w14:solidFill>
                </w14:textFill>
              </w:rPr>
              <w:t>平均每天</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损耗水量按池体有效槽液量的10%进行计算为0.36</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/d，</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90</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/a</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槽液</w:t>
            </w:r>
            <w:r>
              <w:rPr>
                <w:rFonts w:hint="default" w:ascii="Times New Roman" w:hAnsi="Times New Roman" w:eastAsia="宋体" w:cs="Times New Roman"/>
                <w:color w:val="000000" w:themeColor="text1"/>
                <w:sz w:val="21"/>
                <w:szCs w:val="21"/>
                <w:highlight w:val="none"/>
                <w14:textFill>
                  <w14:solidFill>
                    <w14:schemeClr w14:val="tx1"/>
                  </w14:solidFill>
                </w14:textFill>
              </w:rPr>
              <w:t>更换频次为</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1个月1次</w:t>
            </w:r>
            <w:r>
              <w:rPr>
                <w:rFonts w:hint="default" w:ascii="Times New Roman" w:hAnsi="Times New Roman" w:eastAsia="宋体" w:cs="Times New Roman"/>
                <w:color w:val="000000" w:themeColor="text1"/>
                <w:sz w:val="21"/>
                <w:szCs w:val="21"/>
                <w:highlight w:val="none"/>
                <w14:textFill>
                  <w14:solidFill>
                    <w14:schemeClr w14:val="tx1"/>
                  </w14:solidFill>
                </w14:textFill>
              </w:rPr>
              <w:t>，年更换</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12</w:t>
            </w:r>
            <w:r>
              <w:rPr>
                <w:rFonts w:hint="default" w:ascii="Times New Roman" w:hAnsi="Times New Roman" w:eastAsia="宋体" w:cs="Times New Roman"/>
                <w:color w:val="000000" w:themeColor="text1"/>
                <w:sz w:val="21"/>
                <w:szCs w:val="21"/>
                <w:highlight w:val="none"/>
                <w14:textFill>
                  <w14:solidFill>
                    <w14:schemeClr w14:val="tx1"/>
                  </w14:solidFill>
                </w14:textFill>
              </w:rPr>
              <w:t>次，</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年更换用水量为43.2</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。则年用水量为133.2</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日平均用水量为0.53</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p>
        </w:tc>
        <w:tc>
          <w:tcPr>
            <w:tcW w:w="686" w:type="pct"/>
            <w:vAlign w:val="center"/>
          </w:tcPr>
          <w:p w14:paraId="40F42E21">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0.53</w:t>
            </w:r>
          </w:p>
        </w:tc>
        <w:tc>
          <w:tcPr>
            <w:tcW w:w="748" w:type="pct"/>
            <w:vAlign w:val="center"/>
          </w:tcPr>
          <w:p w14:paraId="4336BFE9">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133.2</w:t>
            </w:r>
          </w:p>
        </w:tc>
      </w:tr>
      <w:tr w14:paraId="179F4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trPr>
        <w:tc>
          <w:tcPr>
            <w:tcW w:w="277" w:type="pct"/>
            <w:vAlign w:val="center"/>
          </w:tcPr>
          <w:p w14:paraId="0345BD1D">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3</w:t>
            </w:r>
          </w:p>
        </w:tc>
        <w:tc>
          <w:tcPr>
            <w:tcW w:w="501" w:type="pct"/>
            <w:vAlign w:val="center"/>
          </w:tcPr>
          <w:p w14:paraId="197DDFE9">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水洗槽②补充水</w:t>
            </w:r>
          </w:p>
        </w:tc>
        <w:tc>
          <w:tcPr>
            <w:tcW w:w="4751" w:type="dxa"/>
            <w:vAlign w:val="center"/>
          </w:tcPr>
          <w:p w14:paraId="24B31354">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脱脂水洗槽②</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14:textFill>
                  <w14:solidFill>
                    <w14:schemeClr w14:val="tx1"/>
                  </w14:solidFill>
                </w14:textFill>
              </w:rPr>
              <w:t>平均每天</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损耗水量按池体有效槽液量的10%进行计算为0.36</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/d，</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90</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/a</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槽液</w:t>
            </w:r>
            <w:r>
              <w:rPr>
                <w:rFonts w:hint="default" w:ascii="Times New Roman" w:hAnsi="Times New Roman" w:eastAsia="宋体" w:cs="Times New Roman"/>
                <w:color w:val="000000" w:themeColor="text1"/>
                <w:sz w:val="21"/>
                <w:szCs w:val="21"/>
                <w:highlight w:val="none"/>
                <w14:textFill>
                  <w14:solidFill>
                    <w14:schemeClr w14:val="tx1"/>
                  </w14:solidFill>
                </w14:textFill>
              </w:rPr>
              <w:t>更换频次为</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1个月1次</w:t>
            </w:r>
            <w:r>
              <w:rPr>
                <w:rFonts w:hint="default" w:ascii="Times New Roman" w:hAnsi="Times New Roman" w:eastAsia="宋体" w:cs="Times New Roman"/>
                <w:color w:val="000000" w:themeColor="text1"/>
                <w:sz w:val="21"/>
                <w:szCs w:val="21"/>
                <w:highlight w:val="none"/>
                <w14:textFill>
                  <w14:solidFill>
                    <w14:schemeClr w14:val="tx1"/>
                  </w14:solidFill>
                </w14:textFill>
              </w:rPr>
              <w:t>，年更换</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12</w:t>
            </w:r>
            <w:r>
              <w:rPr>
                <w:rFonts w:hint="default" w:ascii="Times New Roman" w:hAnsi="Times New Roman" w:eastAsia="宋体" w:cs="Times New Roman"/>
                <w:color w:val="000000" w:themeColor="text1"/>
                <w:sz w:val="21"/>
                <w:szCs w:val="21"/>
                <w:highlight w:val="none"/>
                <w14:textFill>
                  <w14:solidFill>
                    <w14:schemeClr w14:val="tx1"/>
                  </w14:solidFill>
                </w14:textFill>
              </w:rPr>
              <w:t>次，</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年更换用水量为43.2</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。则年用水量为133.2</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日平均用水量为0.53</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p>
        </w:tc>
        <w:tc>
          <w:tcPr>
            <w:tcW w:w="1170" w:type="dxa"/>
            <w:vAlign w:val="center"/>
          </w:tcPr>
          <w:p w14:paraId="07C6C55D">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0.53</w:t>
            </w:r>
          </w:p>
        </w:tc>
        <w:tc>
          <w:tcPr>
            <w:tcW w:w="1276" w:type="dxa"/>
            <w:vAlign w:val="center"/>
          </w:tcPr>
          <w:p w14:paraId="1EF3BDF8">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133.2</w:t>
            </w:r>
          </w:p>
        </w:tc>
      </w:tr>
      <w:tr w14:paraId="7E42F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3" w:hRule="atLeast"/>
        </w:trPr>
        <w:tc>
          <w:tcPr>
            <w:tcW w:w="277" w:type="pct"/>
            <w:vAlign w:val="center"/>
          </w:tcPr>
          <w:p w14:paraId="0E147586">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4</w:t>
            </w:r>
          </w:p>
        </w:tc>
        <w:tc>
          <w:tcPr>
            <w:tcW w:w="501" w:type="pct"/>
            <w:vAlign w:val="center"/>
          </w:tcPr>
          <w:p w14:paraId="7519261B">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阳极氧化槽补充水</w:t>
            </w:r>
          </w:p>
        </w:tc>
        <w:tc>
          <w:tcPr>
            <w:tcW w:w="2786" w:type="pct"/>
            <w:vAlign w:val="center"/>
          </w:tcPr>
          <w:p w14:paraId="5BC016D7">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项目设置1个硫酸阳极氧化槽，</w:t>
            </w:r>
            <w:r>
              <w:rPr>
                <w:rFonts w:hint="default" w:ascii="Times New Roman" w:hAnsi="Times New Roman" w:eastAsia="宋体" w:cs="Times New Roman"/>
                <w:color w:val="000000" w:themeColor="text1"/>
                <w:sz w:val="21"/>
                <w:szCs w:val="21"/>
                <w:highlight w:val="none"/>
                <w14:textFill>
                  <w14:solidFill>
                    <w14:schemeClr w14:val="tx1"/>
                  </w14:solidFill>
                </w14:textFill>
              </w:rPr>
              <w:t>平均每天</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损耗水量按池体有效槽液量的10%进行计算为0.36</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/d，</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90</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/a</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槽液</w:t>
            </w:r>
            <w:r>
              <w:rPr>
                <w:rFonts w:hint="default" w:ascii="Times New Roman" w:hAnsi="Times New Roman" w:eastAsia="宋体" w:cs="Times New Roman"/>
                <w:color w:val="000000" w:themeColor="text1"/>
                <w:sz w:val="21"/>
                <w:szCs w:val="21"/>
                <w:highlight w:val="none"/>
                <w14:textFill>
                  <w14:solidFill>
                    <w14:schemeClr w14:val="tx1"/>
                  </w14:solidFill>
                </w14:textFill>
              </w:rPr>
              <w:t>更换频次为</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3个月1次</w:t>
            </w:r>
            <w:r>
              <w:rPr>
                <w:rFonts w:hint="default" w:ascii="Times New Roman" w:hAnsi="Times New Roman" w:eastAsia="宋体" w:cs="Times New Roman"/>
                <w:color w:val="000000" w:themeColor="text1"/>
                <w:sz w:val="21"/>
                <w:szCs w:val="21"/>
                <w:highlight w:val="none"/>
                <w14:textFill>
                  <w14:solidFill>
                    <w14:schemeClr w14:val="tx1"/>
                  </w14:solidFill>
                </w14:textFill>
              </w:rPr>
              <w:t>，年更换</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4</w:t>
            </w:r>
            <w:r>
              <w:rPr>
                <w:rFonts w:hint="default" w:ascii="Times New Roman" w:hAnsi="Times New Roman" w:eastAsia="宋体" w:cs="Times New Roman"/>
                <w:color w:val="000000" w:themeColor="text1"/>
                <w:sz w:val="21"/>
                <w:szCs w:val="21"/>
                <w:highlight w:val="none"/>
                <w14:textFill>
                  <w14:solidFill>
                    <w14:schemeClr w14:val="tx1"/>
                  </w14:solidFill>
                </w14:textFill>
              </w:rPr>
              <w:t>次，</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年更换用水量为14.4</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。则年用水量为104.4</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日平均用水量为0.42</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p>
        </w:tc>
        <w:tc>
          <w:tcPr>
            <w:tcW w:w="686" w:type="pct"/>
            <w:vAlign w:val="center"/>
          </w:tcPr>
          <w:p w14:paraId="1F5FC91A">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0.42</w:t>
            </w:r>
          </w:p>
        </w:tc>
        <w:tc>
          <w:tcPr>
            <w:tcW w:w="748" w:type="pct"/>
            <w:vAlign w:val="center"/>
          </w:tcPr>
          <w:p w14:paraId="684F835C">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104.4</w:t>
            </w:r>
          </w:p>
        </w:tc>
      </w:tr>
      <w:tr w14:paraId="37AD0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 w:type="pct"/>
            <w:vAlign w:val="center"/>
          </w:tcPr>
          <w:p w14:paraId="1BC35009">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5</w:t>
            </w:r>
          </w:p>
        </w:tc>
        <w:tc>
          <w:tcPr>
            <w:tcW w:w="856" w:type="dxa"/>
            <w:vAlign w:val="center"/>
          </w:tcPr>
          <w:p w14:paraId="022FCE94">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水洗槽③补充水</w:t>
            </w:r>
          </w:p>
        </w:tc>
        <w:tc>
          <w:tcPr>
            <w:tcW w:w="4751" w:type="dxa"/>
            <w:vAlign w:val="center"/>
          </w:tcPr>
          <w:p w14:paraId="08A269FC">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阳极氧化水洗槽③</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14:textFill>
                  <w14:solidFill>
                    <w14:schemeClr w14:val="tx1"/>
                  </w14:solidFill>
                </w14:textFill>
              </w:rPr>
              <w:t>平均每天</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损耗水量按池体有效槽液量的10%进行计算为0.144</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/d，</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36</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/a</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槽液</w:t>
            </w:r>
            <w:r>
              <w:rPr>
                <w:rFonts w:hint="default" w:ascii="Times New Roman" w:hAnsi="Times New Roman" w:eastAsia="宋体" w:cs="Times New Roman"/>
                <w:color w:val="000000" w:themeColor="text1"/>
                <w:sz w:val="21"/>
                <w:szCs w:val="21"/>
                <w:highlight w:val="none"/>
                <w14:textFill>
                  <w14:solidFill>
                    <w14:schemeClr w14:val="tx1"/>
                  </w14:solidFill>
                </w14:textFill>
              </w:rPr>
              <w:t>更换频次为</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1个月1次</w:t>
            </w:r>
            <w:r>
              <w:rPr>
                <w:rFonts w:hint="default" w:ascii="Times New Roman" w:hAnsi="Times New Roman" w:eastAsia="宋体" w:cs="Times New Roman"/>
                <w:color w:val="000000" w:themeColor="text1"/>
                <w:sz w:val="21"/>
                <w:szCs w:val="21"/>
                <w:highlight w:val="none"/>
                <w14:textFill>
                  <w14:solidFill>
                    <w14:schemeClr w14:val="tx1"/>
                  </w14:solidFill>
                </w14:textFill>
              </w:rPr>
              <w:t>，年更换</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12</w:t>
            </w:r>
            <w:r>
              <w:rPr>
                <w:rFonts w:hint="default" w:ascii="Times New Roman" w:hAnsi="Times New Roman" w:eastAsia="宋体" w:cs="Times New Roman"/>
                <w:color w:val="000000" w:themeColor="text1"/>
                <w:sz w:val="21"/>
                <w:szCs w:val="21"/>
                <w:highlight w:val="none"/>
                <w14:textFill>
                  <w14:solidFill>
                    <w14:schemeClr w14:val="tx1"/>
                  </w14:solidFill>
                </w14:textFill>
              </w:rPr>
              <w:t>次，</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年更换用水量为17.3</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。则年用水量为53.3</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日平均用水量为0.21</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p>
        </w:tc>
        <w:tc>
          <w:tcPr>
            <w:tcW w:w="1170" w:type="dxa"/>
            <w:vAlign w:val="center"/>
          </w:tcPr>
          <w:p w14:paraId="27E8FF0C">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0.21</w:t>
            </w:r>
          </w:p>
        </w:tc>
        <w:tc>
          <w:tcPr>
            <w:tcW w:w="1276" w:type="dxa"/>
            <w:vAlign w:val="center"/>
          </w:tcPr>
          <w:p w14:paraId="6B8CEC5B">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53.3</w:t>
            </w:r>
          </w:p>
        </w:tc>
      </w:tr>
      <w:tr w14:paraId="7DE51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 w:type="pct"/>
            <w:vAlign w:val="center"/>
          </w:tcPr>
          <w:p w14:paraId="78173790">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6</w:t>
            </w:r>
          </w:p>
        </w:tc>
        <w:tc>
          <w:tcPr>
            <w:tcW w:w="856" w:type="dxa"/>
            <w:vAlign w:val="center"/>
          </w:tcPr>
          <w:p w14:paraId="5439DADE">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水洗槽④补充水</w:t>
            </w:r>
          </w:p>
        </w:tc>
        <w:tc>
          <w:tcPr>
            <w:tcW w:w="4751" w:type="dxa"/>
            <w:vAlign w:val="center"/>
          </w:tcPr>
          <w:p w14:paraId="58E15CAF">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阳极氧化水洗槽④</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14:textFill>
                  <w14:solidFill>
                    <w14:schemeClr w14:val="tx1"/>
                  </w14:solidFill>
                </w14:textFill>
              </w:rPr>
              <w:t>平均每天</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损耗水量按池体有效槽液量的10%进行计算为0.144</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/d，</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36</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/a</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槽液</w:t>
            </w:r>
            <w:r>
              <w:rPr>
                <w:rFonts w:hint="default" w:ascii="Times New Roman" w:hAnsi="Times New Roman" w:eastAsia="宋体" w:cs="Times New Roman"/>
                <w:color w:val="000000" w:themeColor="text1"/>
                <w:sz w:val="21"/>
                <w:szCs w:val="21"/>
                <w:highlight w:val="none"/>
                <w14:textFill>
                  <w14:solidFill>
                    <w14:schemeClr w14:val="tx1"/>
                  </w14:solidFill>
                </w14:textFill>
              </w:rPr>
              <w:t>更换频次为</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1个月1次</w:t>
            </w:r>
            <w:r>
              <w:rPr>
                <w:rFonts w:hint="default" w:ascii="Times New Roman" w:hAnsi="Times New Roman" w:eastAsia="宋体" w:cs="Times New Roman"/>
                <w:color w:val="000000" w:themeColor="text1"/>
                <w:sz w:val="21"/>
                <w:szCs w:val="21"/>
                <w:highlight w:val="none"/>
                <w14:textFill>
                  <w14:solidFill>
                    <w14:schemeClr w14:val="tx1"/>
                  </w14:solidFill>
                </w14:textFill>
              </w:rPr>
              <w:t>，年更换</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12</w:t>
            </w:r>
            <w:r>
              <w:rPr>
                <w:rFonts w:hint="default" w:ascii="Times New Roman" w:hAnsi="Times New Roman" w:eastAsia="宋体" w:cs="Times New Roman"/>
                <w:color w:val="000000" w:themeColor="text1"/>
                <w:sz w:val="21"/>
                <w:szCs w:val="21"/>
                <w:highlight w:val="none"/>
                <w14:textFill>
                  <w14:solidFill>
                    <w14:schemeClr w14:val="tx1"/>
                  </w14:solidFill>
                </w14:textFill>
              </w:rPr>
              <w:t>次，</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年更换用水量为17.3</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。则年用水量为53.3</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日平均用水量为0.21</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p>
        </w:tc>
        <w:tc>
          <w:tcPr>
            <w:tcW w:w="1170" w:type="dxa"/>
            <w:vAlign w:val="center"/>
          </w:tcPr>
          <w:p w14:paraId="0218386D">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0.21</w:t>
            </w:r>
          </w:p>
        </w:tc>
        <w:tc>
          <w:tcPr>
            <w:tcW w:w="1276" w:type="dxa"/>
            <w:vAlign w:val="center"/>
          </w:tcPr>
          <w:p w14:paraId="61136556">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53.3</w:t>
            </w:r>
          </w:p>
        </w:tc>
      </w:tr>
      <w:tr w14:paraId="1535B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 w:type="pct"/>
            <w:vAlign w:val="center"/>
          </w:tcPr>
          <w:p w14:paraId="7463B1F4">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7</w:t>
            </w:r>
          </w:p>
        </w:tc>
        <w:tc>
          <w:tcPr>
            <w:tcW w:w="501" w:type="pct"/>
            <w:vAlign w:val="center"/>
          </w:tcPr>
          <w:p w14:paraId="3E19A513">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冲洗水槽</w:t>
            </w:r>
          </w:p>
        </w:tc>
        <w:tc>
          <w:tcPr>
            <w:tcW w:w="4751" w:type="dxa"/>
            <w:vAlign w:val="center"/>
          </w:tcPr>
          <w:p w14:paraId="034470BA">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冲洗水槽</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14:textFill>
                  <w14:solidFill>
                    <w14:schemeClr w14:val="tx1"/>
                  </w14:solidFill>
                </w14:textFill>
              </w:rPr>
              <w:t>平均每天</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损耗水量按池体有效槽液量的15%进行计算为0.22</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/d，</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55</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/a</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槽液</w:t>
            </w:r>
            <w:r>
              <w:rPr>
                <w:rFonts w:hint="default" w:ascii="Times New Roman" w:hAnsi="Times New Roman" w:eastAsia="宋体" w:cs="Times New Roman"/>
                <w:color w:val="000000" w:themeColor="text1"/>
                <w:sz w:val="21"/>
                <w:szCs w:val="21"/>
                <w:highlight w:val="none"/>
                <w14:textFill>
                  <w14:solidFill>
                    <w14:schemeClr w14:val="tx1"/>
                  </w14:solidFill>
                </w14:textFill>
              </w:rPr>
              <w:t>更换频次为</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1个月1次</w:t>
            </w:r>
            <w:r>
              <w:rPr>
                <w:rFonts w:hint="default" w:ascii="Times New Roman" w:hAnsi="Times New Roman" w:eastAsia="宋体" w:cs="Times New Roman"/>
                <w:color w:val="000000" w:themeColor="text1"/>
                <w:sz w:val="21"/>
                <w:szCs w:val="21"/>
                <w:highlight w:val="none"/>
                <w14:textFill>
                  <w14:solidFill>
                    <w14:schemeClr w14:val="tx1"/>
                  </w14:solidFill>
                </w14:textFill>
              </w:rPr>
              <w:t>，年更换</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12</w:t>
            </w:r>
            <w:r>
              <w:rPr>
                <w:rFonts w:hint="default" w:ascii="Times New Roman" w:hAnsi="Times New Roman" w:eastAsia="宋体" w:cs="Times New Roman"/>
                <w:color w:val="000000" w:themeColor="text1"/>
                <w:sz w:val="21"/>
                <w:szCs w:val="21"/>
                <w:highlight w:val="none"/>
                <w14:textFill>
                  <w14:solidFill>
                    <w14:schemeClr w14:val="tx1"/>
                  </w14:solidFill>
                </w14:textFill>
              </w:rPr>
              <w:t>次，</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年更换用水量为17.3</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。则年用水量为70.6</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日平均用水量为0.28</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p>
        </w:tc>
        <w:tc>
          <w:tcPr>
            <w:tcW w:w="1170" w:type="dxa"/>
            <w:vAlign w:val="center"/>
          </w:tcPr>
          <w:p w14:paraId="582DF23A">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0.28</w:t>
            </w:r>
          </w:p>
        </w:tc>
        <w:tc>
          <w:tcPr>
            <w:tcW w:w="1276" w:type="dxa"/>
            <w:vAlign w:val="center"/>
          </w:tcPr>
          <w:p w14:paraId="2E574C58">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70.6</w:t>
            </w:r>
          </w:p>
        </w:tc>
      </w:tr>
      <w:tr w14:paraId="4E29B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 w:type="pct"/>
            <w:vAlign w:val="center"/>
          </w:tcPr>
          <w:p w14:paraId="3FD6D204">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8</w:t>
            </w:r>
          </w:p>
        </w:tc>
        <w:tc>
          <w:tcPr>
            <w:tcW w:w="501" w:type="pct"/>
            <w:vAlign w:val="center"/>
          </w:tcPr>
          <w:p w14:paraId="525639E1">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封闭槽补充水</w:t>
            </w:r>
          </w:p>
        </w:tc>
        <w:tc>
          <w:tcPr>
            <w:tcW w:w="2786" w:type="pct"/>
            <w:vAlign w:val="center"/>
          </w:tcPr>
          <w:p w14:paraId="32FFAD4E">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封闭槽</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14:textFill>
                  <w14:solidFill>
                    <w14:schemeClr w14:val="tx1"/>
                  </w14:solidFill>
                </w14:textFill>
              </w:rPr>
              <w:t>平均每天</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损耗水量按池体有效槽液量的10%进行计算为0.144</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/d，</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36</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/a</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槽液</w:t>
            </w:r>
            <w:r>
              <w:rPr>
                <w:rFonts w:hint="default" w:ascii="Times New Roman" w:hAnsi="Times New Roman" w:eastAsia="宋体" w:cs="Times New Roman"/>
                <w:color w:val="000000" w:themeColor="text1"/>
                <w:sz w:val="21"/>
                <w:szCs w:val="21"/>
                <w:highlight w:val="none"/>
                <w14:textFill>
                  <w14:solidFill>
                    <w14:schemeClr w14:val="tx1"/>
                  </w14:solidFill>
                </w14:textFill>
              </w:rPr>
              <w:t>更换频次为</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3个月1次</w:t>
            </w:r>
            <w:r>
              <w:rPr>
                <w:rFonts w:hint="default" w:ascii="Times New Roman" w:hAnsi="Times New Roman" w:eastAsia="宋体" w:cs="Times New Roman"/>
                <w:color w:val="000000" w:themeColor="text1"/>
                <w:sz w:val="21"/>
                <w:szCs w:val="21"/>
                <w:highlight w:val="none"/>
                <w14:textFill>
                  <w14:solidFill>
                    <w14:schemeClr w14:val="tx1"/>
                  </w14:solidFill>
                </w14:textFill>
              </w:rPr>
              <w:t>，年更换</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4</w:t>
            </w:r>
            <w:r>
              <w:rPr>
                <w:rFonts w:hint="default" w:ascii="Times New Roman" w:hAnsi="Times New Roman" w:eastAsia="宋体" w:cs="Times New Roman"/>
                <w:color w:val="000000" w:themeColor="text1"/>
                <w:sz w:val="21"/>
                <w:szCs w:val="21"/>
                <w:highlight w:val="none"/>
                <w14:textFill>
                  <w14:solidFill>
                    <w14:schemeClr w14:val="tx1"/>
                  </w14:solidFill>
                </w14:textFill>
              </w:rPr>
              <w:t>次，</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年更换用水量为5.76</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。则年用水量为41.8</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日平均用水量为0.17</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p>
        </w:tc>
        <w:tc>
          <w:tcPr>
            <w:tcW w:w="686" w:type="pct"/>
            <w:vAlign w:val="center"/>
          </w:tcPr>
          <w:p w14:paraId="37A3487A">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0.17</w:t>
            </w:r>
          </w:p>
        </w:tc>
        <w:tc>
          <w:tcPr>
            <w:tcW w:w="748" w:type="pct"/>
            <w:vAlign w:val="center"/>
          </w:tcPr>
          <w:p w14:paraId="012481CA">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41.8</w:t>
            </w:r>
          </w:p>
        </w:tc>
      </w:tr>
      <w:tr w14:paraId="3D0EE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 w:type="pct"/>
            <w:vAlign w:val="center"/>
          </w:tcPr>
          <w:p w14:paraId="18C764FA">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9</w:t>
            </w:r>
          </w:p>
        </w:tc>
        <w:tc>
          <w:tcPr>
            <w:tcW w:w="856" w:type="dxa"/>
            <w:vAlign w:val="center"/>
          </w:tcPr>
          <w:p w14:paraId="6C6C8F1A">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水洗槽⑤补充水</w:t>
            </w:r>
          </w:p>
        </w:tc>
        <w:tc>
          <w:tcPr>
            <w:tcW w:w="4751" w:type="dxa"/>
            <w:vAlign w:val="center"/>
          </w:tcPr>
          <w:p w14:paraId="135D6CA3">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封闭水洗槽⑤</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14:textFill>
                  <w14:solidFill>
                    <w14:schemeClr w14:val="tx1"/>
                  </w14:solidFill>
                </w14:textFill>
              </w:rPr>
              <w:t>平均每天</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损耗水量按池体有效槽液量的10%进行计算为0.144</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/d，</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36</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/a</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槽液</w:t>
            </w:r>
            <w:r>
              <w:rPr>
                <w:rFonts w:hint="default" w:ascii="Times New Roman" w:hAnsi="Times New Roman" w:eastAsia="宋体" w:cs="Times New Roman"/>
                <w:color w:val="000000" w:themeColor="text1"/>
                <w:sz w:val="21"/>
                <w:szCs w:val="21"/>
                <w:highlight w:val="none"/>
                <w14:textFill>
                  <w14:solidFill>
                    <w14:schemeClr w14:val="tx1"/>
                  </w14:solidFill>
                </w14:textFill>
              </w:rPr>
              <w:t>更换频次为</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1个月1次</w:t>
            </w:r>
            <w:r>
              <w:rPr>
                <w:rFonts w:hint="default" w:ascii="Times New Roman" w:hAnsi="Times New Roman" w:eastAsia="宋体" w:cs="Times New Roman"/>
                <w:color w:val="000000" w:themeColor="text1"/>
                <w:sz w:val="21"/>
                <w:szCs w:val="21"/>
                <w:highlight w:val="none"/>
                <w14:textFill>
                  <w14:solidFill>
                    <w14:schemeClr w14:val="tx1"/>
                  </w14:solidFill>
                </w14:textFill>
              </w:rPr>
              <w:t>，年更换</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12</w:t>
            </w:r>
            <w:r>
              <w:rPr>
                <w:rFonts w:hint="default" w:ascii="Times New Roman" w:hAnsi="Times New Roman" w:eastAsia="宋体" w:cs="Times New Roman"/>
                <w:color w:val="000000" w:themeColor="text1"/>
                <w:sz w:val="21"/>
                <w:szCs w:val="21"/>
                <w:highlight w:val="none"/>
                <w14:textFill>
                  <w14:solidFill>
                    <w14:schemeClr w14:val="tx1"/>
                  </w14:solidFill>
                </w14:textFill>
              </w:rPr>
              <w:t>次，</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年更换用水量为17.3</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。则年用水量为53.3</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日平均用水量为0.21</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p>
        </w:tc>
        <w:tc>
          <w:tcPr>
            <w:tcW w:w="1170" w:type="dxa"/>
            <w:vAlign w:val="center"/>
          </w:tcPr>
          <w:p w14:paraId="65DF6C48">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0.21</w:t>
            </w:r>
          </w:p>
        </w:tc>
        <w:tc>
          <w:tcPr>
            <w:tcW w:w="1276" w:type="dxa"/>
            <w:vAlign w:val="center"/>
          </w:tcPr>
          <w:p w14:paraId="3A4ECE9F">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53.3</w:t>
            </w:r>
          </w:p>
        </w:tc>
      </w:tr>
      <w:tr w14:paraId="5180D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pct"/>
            <w:gridSpan w:val="2"/>
            <w:vAlign w:val="center"/>
          </w:tcPr>
          <w:p w14:paraId="6184AE3E">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汇总</w:t>
            </w:r>
          </w:p>
        </w:tc>
        <w:tc>
          <w:tcPr>
            <w:tcW w:w="2786" w:type="pct"/>
            <w:vAlign w:val="center"/>
          </w:tcPr>
          <w:p w14:paraId="7C2FE25E">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w:t>
            </w:r>
          </w:p>
        </w:tc>
        <w:tc>
          <w:tcPr>
            <w:tcW w:w="686" w:type="pct"/>
            <w:vAlign w:val="center"/>
          </w:tcPr>
          <w:p w14:paraId="7B6FFD16">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2.92</w:t>
            </w:r>
          </w:p>
        </w:tc>
        <w:tc>
          <w:tcPr>
            <w:tcW w:w="748" w:type="pct"/>
            <w:vAlign w:val="center"/>
          </w:tcPr>
          <w:p w14:paraId="23E72F91">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730.1</w:t>
            </w:r>
          </w:p>
        </w:tc>
      </w:tr>
    </w:tbl>
    <w:p w14:paraId="3C6DE0AA">
      <w:pPr>
        <w:spacing w:line="360" w:lineRule="auto"/>
        <w:ind w:firstLine="480" w:firstLineChars="200"/>
        <w:jc w:val="both"/>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由上表可知生产线用水（纯水）量为</w:t>
      </w:r>
      <w:r>
        <w:rPr>
          <w:rFonts w:hint="eastAsia" w:ascii="Times New Roman" w:hAnsi="Times New Roman" w:cs="Times New Roman"/>
          <w:color w:val="000000" w:themeColor="text1"/>
          <w:kern w:val="0"/>
          <w:sz w:val="24"/>
          <w:szCs w:val="20"/>
          <w:highlight w:val="none"/>
          <w:lang w:val="en-US" w:eastAsia="zh-CN"/>
          <w14:textFill>
            <w14:solidFill>
              <w14:schemeClr w14:val="tx1"/>
            </w14:solidFill>
          </w14:textFill>
        </w:rPr>
        <w:t>2.92m</w:t>
      </w:r>
      <w:r>
        <w:rPr>
          <w:rFonts w:hint="eastAsia" w:ascii="Times New Roman" w:hAnsi="Times New Roman" w:cs="Times New Roman"/>
          <w:color w:val="000000" w:themeColor="text1"/>
          <w:kern w:val="0"/>
          <w:sz w:val="24"/>
          <w:szCs w:val="20"/>
          <w:highlight w:val="none"/>
          <w:vertAlign w:val="superscript"/>
          <w:lang w:val="en-US" w:eastAsia="zh-CN"/>
          <w14:textFill>
            <w14:solidFill>
              <w14:schemeClr w14:val="tx1"/>
            </w14:solidFill>
          </w14:textFill>
        </w:rPr>
        <w:t>3</w:t>
      </w:r>
      <w:r>
        <w:rPr>
          <w:rFonts w:hint="eastAsia" w:ascii="Times New Roman" w:hAnsi="Times New Roman" w:cs="Times New Roman"/>
          <w:color w:val="000000" w:themeColor="text1"/>
          <w:kern w:val="0"/>
          <w:sz w:val="24"/>
          <w:szCs w:val="20"/>
          <w:highlight w:val="none"/>
          <w:lang w:val="en-US" w:eastAsia="zh-CN"/>
          <w14:textFill>
            <w14:solidFill>
              <w14:schemeClr w14:val="tx1"/>
            </w14:solidFill>
          </w14:textFill>
        </w:rPr>
        <w:t>/d，</w:t>
      </w:r>
      <w:r>
        <w:rPr>
          <w:rFonts w:hint="eastAsia"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730.1m</w:t>
      </w:r>
      <w:r>
        <w:rPr>
          <w:rFonts w:hint="eastAsia" w:ascii="Times New Roman" w:hAnsi="Times New Roman" w:eastAsia="宋体" w:cs="Times New Roman"/>
          <w:color w:val="000000" w:themeColor="text1"/>
          <w:kern w:val="0"/>
          <w:sz w:val="24"/>
          <w:szCs w:val="20"/>
          <w:highlight w:val="none"/>
          <w:vertAlign w:val="superscript"/>
          <w:lang w:val="en-US" w:eastAsia="zh-CN"/>
          <w14:textFill>
            <w14:solidFill>
              <w14:schemeClr w14:val="tx1"/>
            </w14:solidFill>
          </w14:textFill>
        </w:rPr>
        <w:t>3</w:t>
      </w:r>
      <w:r>
        <w:rPr>
          <w:rFonts w:hint="eastAsia"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/a，上述各槽的排水及碱液喷淋塔废水经自建污水处理设施处理后可直接回用于生产线补充水，回用</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量为1.02m</w:t>
      </w:r>
      <w:r>
        <w:rPr>
          <w:rFonts w:hint="default" w:ascii="Times New Roman" w:hAnsi="Times New Roman" w:eastAsia="宋体" w:cs="Times New Roman"/>
          <w:color w:val="000000" w:themeColor="text1"/>
          <w:kern w:val="0"/>
          <w:sz w:val="24"/>
          <w:szCs w:val="20"/>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/d，255m</w:t>
      </w:r>
      <w:r>
        <w:rPr>
          <w:rFonts w:hint="default" w:ascii="Times New Roman" w:hAnsi="Times New Roman" w:eastAsia="宋体" w:cs="Times New Roman"/>
          <w:color w:val="000000" w:themeColor="text1"/>
          <w:kern w:val="0"/>
          <w:sz w:val="24"/>
          <w:szCs w:val="20"/>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/a，则本项目纯水新鲜水用量为1.9m</w:t>
      </w:r>
      <w:r>
        <w:rPr>
          <w:rFonts w:hint="default" w:ascii="Times New Roman" w:hAnsi="Times New Roman" w:eastAsia="宋体" w:cs="Times New Roman"/>
          <w:color w:val="000000" w:themeColor="text1"/>
          <w:kern w:val="0"/>
          <w:sz w:val="24"/>
          <w:szCs w:val="20"/>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/d，475m</w:t>
      </w:r>
      <w:r>
        <w:rPr>
          <w:rFonts w:hint="default" w:ascii="Times New Roman" w:hAnsi="Times New Roman" w:eastAsia="宋体" w:cs="Times New Roman"/>
          <w:color w:val="000000" w:themeColor="text1"/>
          <w:kern w:val="0"/>
          <w:sz w:val="24"/>
          <w:szCs w:val="20"/>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/a，项目设置一套纯水制备设备，</w:t>
      </w:r>
      <w:r>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制备能力为0.5t/h，根据设计资料制备效率约为80%，则本项目生产线新鲜水使用量为2.38m</w:t>
      </w:r>
      <w:r>
        <w:rPr>
          <w:rFonts w:hint="default" w:ascii="Times New Roman" w:hAnsi="Times New Roman" w:eastAsia="宋体" w:cs="Times New Roman"/>
          <w:color w:val="000000" w:themeColor="text1"/>
          <w:kern w:val="2"/>
          <w:sz w:val="24"/>
          <w:szCs w:val="22"/>
          <w:highlight w:val="none"/>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/d，595m</w:t>
      </w:r>
      <w:r>
        <w:rPr>
          <w:rFonts w:hint="default" w:ascii="Times New Roman" w:hAnsi="Times New Roman" w:eastAsia="宋体" w:cs="Times New Roman"/>
          <w:color w:val="000000" w:themeColor="text1"/>
          <w:kern w:val="2"/>
          <w:sz w:val="24"/>
          <w:szCs w:val="22"/>
          <w:highlight w:val="none"/>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/a。</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纯水制备尾水产生量为</w:t>
      </w:r>
      <w:r>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0.48m</w:t>
      </w:r>
      <w:r>
        <w:rPr>
          <w:rFonts w:hint="default" w:ascii="Times New Roman" w:hAnsi="Times New Roman" w:eastAsia="宋体" w:cs="Times New Roman"/>
          <w:color w:val="000000" w:themeColor="text1"/>
          <w:kern w:val="2"/>
          <w:sz w:val="24"/>
          <w:szCs w:val="22"/>
          <w:highlight w:val="none"/>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/d，120m</w:t>
      </w:r>
      <w:r>
        <w:rPr>
          <w:rFonts w:hint="default" w:ascii="Times New Roman" w:hAnsi="Times New Roman" w:eastAsia="宋体" w:cs="Times New Roman"/>
          <w:color w:val="000000" w:themeColor="text1"/>
          <w:kern w:val="2"/>
          <w:sz w:val="24"/>
          <w:szCs w:val="22"/>
          <w:highlight w:val="none"/>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/a。</w:t>
      </w:r>
    </w:p>
    <w:p w14:paraId="5DF7AEDC">
      <w:pPr>
        <w:spacing w:line="360" w:lineRule="auto"/>
        <w:ind w:firstLine="480" w:firstLineChars="200"/>
        <w:jc w:val="both"/>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④碱液喷淋塔用水：项目设有1座流量为500L/h碱液喷淋塔，工作时长为8h/d，循环水量为4m</w:t>
      </w:r>
      <w:r>
        <w:rPr>
          <w:rFonts w:hint="default" w:ascii="Times New Roman" w:hAnsi="Times New Roman" w:eastAsia="宋体" w:cs="Times New Roman"/>
          <w:color w:val="000000" w:themeColor="text1"/>
          <w:kern w:val="0"/>
          <w:sz w:val="24"/>
          <w:szCs w:val="20"/>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/d，损耗水量按5%进行计算，平均每天补水0.2m</w:t>
      </w:r>
      <w:r>
        <w:rPr>
          <w:rFonts w:hint="default" w:ascii="Times New Roman" w:hAnsi="Times New Roman" w:eastAsia="宋体" w:cs="Times New Roman"/>
          <w:color w:val="000000" w:themeColor="text1"/>
          <w:kern w:val="0"/>
          <w:sz w:val="24"/>
          <w:szCs w:val="20"/>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/d，年补充水量为50m</w:t>
      </w:r>
      <w:r>
        <w:rPr>
          <w:rFonts w:hint="default" w:ascii="Times New Roman" w:hAnsi="Times New Roman" w:eastAsia="宋体" w:cs="Times New Roman"/>
          <w:color w:val="000000" w:themeColor="text1"/>
          <w:kern w:val="0"/>
          <w:sz w:val="24"/>
          <w:szCs w:val="20"/>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项目碱液喷淋塔补充水均来自纯水制备尾水，由上述计算可知纯水制备尾水能够满足碱液喷淋塔补充水的需求量。喷淋塔内为10%浓度氢氧化钠液体，根据硫酸雾产生及处理情况可知碱液喷淋塔年废水排放量为0.0044m</w:t>
      </w:r>
      <w:r>
        <w:rPr>
          <w:rFonts w:hint="default" w:ascii="Times New Roman" w:hAnsi="Times New Roman" w:eastAsia="宋体" w:cs="Times New Roman"/>
          <w:color w:val="000000" w:themeColor="text1"/>
          <w:kern w:val="0"/>
          <w:sz w:val="24"/>
          <w:szCs w:val="20"/>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/d，1.1m</w:t>
      </w:r>
      <w:r>
        <w:rPr>
          <w:rFonts w:hint="default" w:ascii="Times New Roman" w:hAnsi="Times New Roman" w:eastAsia="宋体" w:cs="Times New Roman"/>
          <w:color w:val="000000" w:themeColor="text1"/>
          <w:kern w:val="0"/>
          <w:sz w:val="24"/>
          <w:szCs w:val="20"/>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/a。</w:t>
      </w:r>
    </w:p>
    <w:p w14:paraId="30F0E6D3">
      <w:pPr>
        <w:widowControl w:val="0"/>
        <w:numPr>
          <w:ilvl w:val="0"/>
          <w:numId w:val="2"/>
        </w:numPr>
        <w:spacing w:line="360" w:lineRule="auto"/>
        <w:ind w:firstLine="480" w:firstLineChars="200"/>
        <w:jc w:val="both"/>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snapToGrid w:val="0"/>
          <w:color w:val="000000" w:themeColor="text1"/>
          <w:kern w:val="0"/>
          <w:sz w:val="24"/>
          <w:szCs w:val="24"/>
          <w:highlight w:val="none"/>
          <w14:textFill>
            <w14:solidFill>
              <w14:schemeClr w14:val="tx1"/>
            </w14:solidFill>
          </w14:textFill>
        </w:rPr>
        <w:t>排水：</w:t>
      </w:r>
      <w:r>
        <w:rPr>
          <w:rFonts w:hint="default" w:ascii="Times New Roman" w:hAnsi="Times New Roman" w:eastAsia="宋体" w:cs="Times New Roman"/>
          <w:color w:val="000000" w:themeColor="text1"/>
          <w:sz w:val="24"/>
          <w:szCs w:val="20"/>
          <w:highlight w:val="none"/>
          <w14:textFill>
            <w14:solidFill>
              <w14:schemeClr w14:val="tx1"/>
            </w14:solidFill>
          </w14:textFill>
        </w:rPr>
        <w:t>项目</w:t>
      </w:r>
      <w:r>
        <w:rPr>
          <w:rFonts w:hint="default" w:ascii="Times New Roman" w:hAnsi="Times New Roman" w:eastAsia="宋体" w:cs="Times New Roman"/>
          <w:color w:val="000000" w:themeColor="text1"/>
          <w:sz w:val="24"/>
          <w:szCs w:val="20"/>
          <w:highlight w:val="none"/>
          <w:lang w:val="en-US" w:eastAsia="zh-CN"/>
          <w14:textFill>
            <w14:solidFill>
              <w14:schemeClr w14:val="tx1"/>
            </w14:solidFill>
          </w14:textFill>
        </w:rPr>
        <w:t>喷淋塔排水、纯水制备尾水、废</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脱脂槽液、清洗废水、废阳极氧化槽液</w:t>
      </w:r>
      <w:r>
        <w:rPr>
          <w:rFonts w:hint="default" w:ascii="Times New Roman" w:hAnsi="Times New Roman" w:eastAsia="宋体" w:cs="Times New Roman"/>
          <w:color w:val="000000" w:themeColor="text1"/>
          <w:kern w:val="0"/>
          <w:sz w:val="24"/>
          <w:szCs w:val="20"/>
          <w:highlight w:val="none"/>
          <w14:textFill>
            <w14:solidFill>
              <w14:schemeClr w14:val="tx1"/>
            </w14:solidFill>
          </w14:textFill>
        </w:rPr>
        <w:t>、</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废封闭槽液、阳极氧化车间保洁废水</w:t>
      </w:r>
      <w:r>
        <w:rPr>
          <w:rFonts w:hint="default" w:ascii="Times New Roman" w:hAnsi="Times New Roman" w:eastAsia="宋体" w:cs="Times New Roman"/>
          <w:color w:val="000000" w:themeColor="text1"/>
          <w:kern w:val="0"/>
          <w:sz w:val="24"/>
          <w:szCs w:val="20"/>
          <w:highlight w:val="none"/>
          <w14:textFill>
            <w14:solidFill>
              <w14:schemeClr w14:val="tx1"/>
            </w14:solidFill>
          </w14:textFill>
        </w:rPr>
        <w:t>经厂区</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自建</w:t>
      </w:r>
      <w:r>
        <w:rPr>
          <w:rFonts w:hint="default" w:ascii="Times New Roman" w:hAnsi="Times New Roman" w:eastAsia="宋体" w:cs="Times New Roman"/>
          <w:color w:val="000000" w:themeColor="text1"/>
          <w:kern w:val="0"/>
          <w:sz w:val="24"/>
          <w:szCs w:val="20"/>
          <w:highlight w:val="none"/>
          <w14:textFill>
            <w14:solidFill>
              <w14:schemeClr w14:val="tx1"/>
            </w14:solidFill>
          </w14:textFill>
        </w:rPr>
        <w:t>污水处理站处理后回用于</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阳极氧化</w:t>
      </w:r>
      <w:r>
        <w:rPr>
          <w:rFonts w:hint="default" w:ascii="Times New Roman" w:hAnsi="Times New Roman" w:eastAsia="宋体" w:cs="Times New Roman"/>
          <w:color w:val="000000" w:themeColor="text1"/>
          <w:kern w:val="0"/>
          <w:sz w:val="24"/>
          <w:szCs w:val="20"/>
          <w:highlight w:val="none"/>
          <w14:textFill>
            <w14:solidFill>
              <w14:schemeClr w14:val="tx1"/>
            </w14:solidFill>
          </w14:textFill>
        </w:rPr>
        <w:t>生产</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线循环使用</w:t>
      </w:r>
      <w:r>
        <w:rPr>
          <w:rFonts w:hint="default" w:ascii="Times New Roman" w:hAnsi="Times New Roman" w:eastAsia="宋体" w:cs="Times New Roman"/>
          <w:color w:val="000000" w:themeColor="text1"/>
          <w:kern w:val="0"/>
          <w:sz w:val="24"/>
          <w:szCs w:val="20"/>
          <w:highlight w:val="none"/>
          <w14:textFill>
            <w14:solidFill>
              <w14:schemeClr w14:val="tx1"/>
            </w14:solidFill>
          </w14:textFill>
        </w:rPr>
        <w:t>，</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污水处理设施产生的浓排水桶装收集作为危废进行处理</w:t>
      </w:r>
      <w:r>
        <w:rPr>
          <w:rFonts w:hint="default" w:ascii="Times New Roman" w:hAnsi="Times New Roman" w:eastAsia="宋体" w:cs="Times New Roman"/>
          <w:color w:val="000000" w:themeColor="text1"/>
          <w:sz w:val="24"/>
          <w:szCs w:val="20"/>
          <w:highlight w:val="none"/>
          <w14:textFill>
            <w14:solidFill>
              <w14:schemeClr w14:val="tx1"/>
            </w14:solidFill>
          </w14:textFill>
        </w:rPr>
        <w:t>；</w:t>
      </w:r>
      <w:r>
        <w:rPr>
          <w:rFonts w:hint="default" w:ascii="Times New Roman" w:hAnsi="Times New Roman" w:eastAsia="宋体" w:cs="Times New Roman"/>
          <w:color w:val="000000" w:themeColor="text1"/>
          <w:sz w:val="24"/>
          <w:highlight w:val="none"/>
          <w14:textFill>
            <w14:solidFill>
              <w14:schemeClr w14:val="tx1"/>
            </w14:solidFill>
          </w14:textFill>
        </w:rPr>
        <w:t>生活污水主要为职工盥洗、冲厕废水，</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生活污水经化粪池预处理，通过市政管网进入鸦鸿桥镇污水处理厂处理</w:t>
      </w:r>
      <w:r>
        <w:rPr>
          <w:rFonts w:hint="default" w:ascii="Times New Roman" w:hAnsi="Times New Roman" w:eastAsia="宋体" w:cs="Times New Roman"/>
          <w:bCs/>
          <w:color w:val="000000" w:themeColor="text1"/>
          <w:sz w:val="24"/>
          <w:highlight w:val="none"/>
          <w14:textFill>
            <w14:solidFill>
              <w14:schemeClr w14:val="tx1"/>
            </w14:solidFill>
          </w14:textFill>
        </w:rPr>
        <w:t>。</w:t>
      </w:r>
    </w:p>
    <w:p w14:paraId="4EB9925B">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b/>
          <w:color w:val="auto"/>
          <w:sz w:val="24"/>
          <w:szCs w:val="24"/>
          <w:highlight w:val="none"/>
          <w:lang w:val="en-US" w:eastAsia="zh-CN"/>
        </w:rPr>
      </w:pPr>
      <w:r>
        <w:rPr>
          <w:rFonts w:hint="default" w:ascii="Times New Roman" w:hAnsi="Times New Roman" w:cs="Times New Roman"/>
          <w:b/>
          <w:color w:val="000000" w:themeColor="text1"/>
          <w:sz w:val="21"/>
          <w:szCs w:val="21"/>
          <w:highlight w:val="none"/>
          <w14:textFill>
            <w14:solidFill>
              <w14:schemeClr w14:val="tx1"/>
            </w14:solidFill>
          </w14:textFill>
        </w:rPr>
        <w:object>
          <v:shape id="_x0000_i1025" o:spt="75" type="#_x0000_t75" style="height:422.95pt;width:415.35pt;" o:ole="t" filled="f" o:preferrelative="t" stroked="f" coordsize="21600,21600">
            <v:path/>
            <v:fill on="f" focussize="0,0"/>
            <v:stroke on="f"/>
            <v:imagedata r:id="rId7" o:title=""/>
            <o:lock v:ext="edit" aspectratio="f"/>
            <w10:wrap type="none"/>
            <w10:anchorlock/>
          </v:shape>
          <o:OLEObject Type="Embed" ProgID="Visio.Drawing.15" ShapeID="_x0000_i1025" DrawAspect="Content" ObjectID="_1468075725" r:id="rId6">
            <o:LockedField>false</o:LockedField>
          </o:OLEObject>
        </w:object>
      </w:r>
      <w:r>
        <w:rPr>
          <w:rFonts w:hint="eastAsia" w:ascii="Times New Roman" w:hAnsi="Times New Roman" w:eastAsia="宋体" w:cs="Times New Roman"/>
          <w:b/>
          <w:color w:val="auto"/>
          <w:sz w:val="24"/>
          <w:szCs w:val="24"/>
          <w:highlight w:val="none"/>
          <w:lang w:val="en-US" w:eastAsia="zh-CN"/>
        </w:rPr>
        <w:t>图3-1 本项目环评中给排水平衡图  m</w:t>
      </w:r>
      <w:r>
        <w:rPr>
          <w:rFonts w:hint="eastAsia" w:ascii="Times New Roman" w:hAnsi="Times New Roman" w:eastAsia="宋体" w:cs="Times New Roman"/>
          <w:b/>
          <w:color w:val="auto"/>
          <w:sz w:val="24"/>
          <w:szCs w:val="24"/>
          <w:highlight w:val="none"/>
          <w:vertAlign w:val="superscript"/>
          <w:lang w:val="en-US" w:eastAsia="zh-CN"/>
        </w:rPr>
        <w:t>3</w:t>
      </w:r>
      <w:r>
        <w:rPr>
          <w:rFonts w:hint="eastAsia" w:ascii="Times New Roman" w:hAnsi="Times New Roman" w:eastAsia="宋体" w:cs="Times New Roman"/>
          <w:b/>
          <w:color w:val="auto"/>
          <w:sz w:val="24"/>
          <w:szCs w:val="24"/>
          <w:highlight w:val="none"/>
          <w:lang w:val="en-US" w:eastAsia="zh-CN"/>
        </w:rPr>
        <w:t>/d</w:t>
      </w:r>
    </w:p>
    <w:p w14:paraId="730B03EA">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t>3.</w:t>
      </w:r>
      <w:r>
        <w:rPr>
          <w:rFonts w:hint="eastAsia" w:ascii="Times New Roman" w:hAnsi="Times New Roman" w:eastAsia="宋体"/>
          <w:b/>
          <w:bCs/>
          <w:color w:val="auto"/>
          <w:sz w:val="24"/>
          <w:szCs w:val="24"/>
          <w:highlight w:val="none"/>
        </w:rPr>
        <w:t>4</w:t>
      </w:r>
      <w:r>
        <w:rPr>
          <w:rFonts w:ascii="Times New Roman" w:hAnsi="Times New Roman" w:eastAsia="宋体"/>
          <w:b/>
          <w:bCs/>
          <w:color w:val="auto"/>
          <w:sz w:val="24"/>
          <w:szCs w:val="24"/>
          <w:highlight w:val="none"/>
        </w:rPr>
        <w:t>.</w:t>
      </w:r>
      <w:r>
        <w:rPr>
          <w:rFonts w:hint="eastAsia" w:ascii="Times New Roman" w:hAnsi="Times New Roman" w:eastAsia="宋体"/>
          <w:b/>
          <w:bCs/>
          <w:color w:val="auto"/>
          <w:sz w:val="24"/>
          <w:szCs w:val="24"/>
          <w:highlight w:val="none"/>
        </w:rPr>
        <w:t>2</w:t>
      </w:r>
      <w:r>
        <w:rPr>
          <w:rFonts w:hint="eastAsia" w:ascii="Times New Roman" w:hAnsi="Times New Roman" w:eastAsia="宋体"/>
          <w:b/>
          <w:bCs/>
          <w:color w:val="auto"/>
          <w:sz w:val="24"/>
          <w:szCs w:val="24"/>
          <w:highlight w:val="none"/>
          <w:lang w:val="en-US" w:eastAsia="zh-CN"/>
        </w:rPr>
        <w:t>实际中给</w:t>
      </w:r>
      <w:r>
        <w:rPr>
          <w:rFonts w:hint="eastAsia" w:ascii="Times New Roman" w:hAnsi="Times New Roman" w:eastAsia="宋体"/>
          <w:b/>
          <w:bCs/>
          <w:color w:val="auto"/>
          <w:sz w:val="24"/>
          <w:szCs w:val="24"/>
          <w:highlight w:val="none"/>
        </w:rPr>
        <w:t>排水</w:t>
      </w:r>
    </w:p>
    <w:p w14:paraId="1C87844C">
      <w:pPr>
        <w:spacing w:line="360" w:lineRule="auto"/>
        <w:ind w:firstLine="480" w:firstLineChars="200"/>
        <w:rPr>
          <w:rFonts w:hint="default" w:ascii="Times New Roman" w:hAnsi="Times New Roman" w:eastAsia="宋体" w:cs="Times New Roman"/>
          <w:color w:val="000000" w:themeColor="text1"/>
          <w:sz w:val="24"/>
          <w:highlight w:val="none"/>
          <w14:textFill>
            <w14:solidFill>
              <w14:schemeClr w14:val="tx1"/>
            </w14:solidFill>
          </w14:textFill>
        </w:rPr>
      </w:pPr>
      <w:bookmarkStart w:id="12" w:name="_Toc626"/>
      <w:r>
        <w:rPr>
          <w:rFonts w:hint="default" w:ascii="Times New Roman" w:hAnsi="Times New Roman" w:eastAsia="宋体" w:cs="Times New Roman"/>
          <w:color w:val="000000" w:themeColor="text1"/>
          <w:sz w:val="24"/>
          <w:highlight w:val="none"/>
          <w14:textFill>
            <w14:solidFill>
              <w14:schemeClr w14:val="tx1"/>
            </w14:solidFill>
          </w14:textFill>
        </w:rPr>
        <w:t>（1）给水</w:t>
      </w:r>
    </w:p>
    <w:p w14:paraId="5F70ADAA">
      <w:pPr>
        <w:widowControl w:val="0"/>
        <w:spacing w:line="360" w:lineRule="auto"/>
        <w:ind w:firstLine="480" w:firstLineChars="200"/>
        <w:jc w:val="both"/>
        <w:rPr>
          <w:rFonts w:hint="default" w:ascii="Times New Roman" w:hAnsi="Times New Roman" w:eastAsia="宋体" w:cs="Times New Roman"/>
          <w:color w:val="000000" w:themeColor="text1"/>
          <w:kern w:val="0"/>
          <w:sz w:val="24"/>
          <w:szCs w:val="20"/>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项目由</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孙各庄村自来水管网</w:t>
      </w:r>
      <w:r>
        <w:rPr>
          <w:rFonts w:hint="default" w:ascii="Times New Roman" w:hAnsi="Times New Roman" w:eastAsia="宋体" w:cs="Times New Roman"/>
          <w:color w:val="000000" w:themeColor="text1"/>
          <w:sz w:val="24"/>
          <w:highlight w:val="none"/>
          <w14:textFill>
            <w14:solidFill>
              <w14:schemeClr w14:val="tx1"/>
            </w14:solidFill>
          </w14:textFill>
        </w:rPr>
        <w:t>供水，</w:t>
      </w:r>
      <w:r>
        <w:rPr>
          <w:rFonts w:hint="default" w:ascii="Times New Roman" w:hAnsi="Times New Roman" w:eastAsia="宋体" w:cs="Times New Roman"/>
          <w:color w:val="000000" w:themeColor="text1"/>
          <w:kern w:val="0"/>
          <w:sz w:val="24"/>
          <w:szCs w:val="20"/>
          <w:highlight w:val="none"/>
          <w14:textFill>
            <w14:solidFill>
              <w14:schemeClr w14:val="tx1"/>
            </w14:solidFill>
          </w14:textFill>
        </w:rPr>
        <w:t>总用水量为</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2.</w:t>
      </w:r>
      <w:r>
        <w:rPr>
          <w:rFonts w:hint="eastAsia"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3525</w:t>
      </w:r>
      <w:r>
        <w:rPr>
          <w:rFonts w:hint="default" w:ascii="Times New Roman" w:hAnsi="Times New Roman" w:eastAsia="宋体" w:cs="Times New Roman"/>
          <w:color w:val="000000" w:themeColor="text1"/>
          <w:kern w:val="0"/>
          <w:sz w:val="24"/>
          <w:szCs w:val="20"/>
          <w:highlight w:val="none"/>
          <w14:textFill>
            <w14:solidFill>
              <w14:schemeClr w14:val="tx1"/>
            </w14:solidFill>
          </w14:textFill>
        </w:rPr>
        <w:t>m</w:t>
      </w:r>
      <w:r>
        <w:rPr>
          <w:rFonts w:hint="default" w:ascii="Times New Roman" w:hAnsi="Times New Roman" w:eastAsia="宋体" w:cs="Times New Roman"/>
          <w:color w:val="000000" w:themeColor="text1"/>
          <w:kern w:val="0"/>
          <w:sz w:val="24"/>
          <w:szCs w:val="20"/>
          <w:highlight w:val="none"/>
          <w:vertAlign w:val="superscript"/>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14:textFill>
            <w14:solidFill>
              <w14:schemeClr w14:val="tx1"/>
            </w14:solidFill>
          </w14:textFill>
        </w:rPr>
        <w:t>/d（全年用量</w:t>
      </w:r>
      <w:r>
        <w:rPr>
          <w:rFonts w:hint="eastAsia"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588.125</w:t>
      </w:r>
      <w:r>
        <w:rPr>
          <w:rFonts w:hint="default" w:ascii="Times New Roman" w:hAnsi="Times New Roman" w:eastAsia="宋体" w:cs="Times New Roman"/>
          <w:color w:val="000000" w:themeColor="text1"/>
          <w:kern w:val="0"/>
          <w:sz w:val="24"/>
          <w:szCs w:val="20"/>
          <w:highlight w:val="none"/>
          <w14:textFill>
            <w14:solidFill>
              <w14:schemeClr w14:val="tx1"/>
            </w14:solidFill>
          </w14:textFill>
        </w:rPr>
        <w:t>m</w:t>
      </w:r>
      <w:r>
        <w:rPr>
          <w:rFonts w:hint="default" w:ascii="Times New Roman" w:hAnsi="Times New Roman" w:eastAsia="宋体" w:cs="Times New Roman"/>
          <w:color w:val="000000" w:themeColor="text1"/>
          <w:kern w:val="0"/>
          <w:sz w:val="24"/>
          <w:szCs w:val="20"/>
          <w:highlight w:val="none"/>
          <w:vertAlign w:val="superscript"/>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14:textFill>
            <w14:solidFill>
              <w14:schemeClr w14:val="tx1"/>
            </w14:solidFill>
          </w14:textFill>
        </w:rPr>
        <w:t>/a）。</w:t>
      </w:r>
    </w:p>
    <w:p w14:paraId="73192A79">
      <w:pPr>
        <w:spacing w:line="360" w:lineRule="auto"/>
        <w:ind w:firstLine="480" w:firstLineChars="200"/>
        <w:jc w:val="both"/>
        <w:rPr>
          <w:rFonts w:hint="default" w:ascii="Times New Roman" w:hAnsi="Times New Roman" w:eastAsia="宋体" w:cs="Times New Roman"/>
          <w:color w:val="auto"/>
          <w:kern w:val="0"/>
          <w:sz w:val="24"/>
          <w:szCs w:val="20"/>
          <w:highlight w:val="none"/>
        </w:rPr>
      </w:pP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项目用水主要为员工生活用水和</w:t>
      </w:r>
      <w:r>
        <w:rPr>
          <w:rFonts w:hint="default" w:ascii="Times New Roman" w:hAnsi="Times New Roman" w:eastAsia="宋体" w:cs="Times New Roman"/>
          <w:color w:val="000000" w:themeColor="text1"/>
          <w:kern w:val="0"/>
          <w:sz w:val="24"/>
          <w:szCs w:val="20"/>
          <w:highlight w:val="none"/>
          <w14:textFill>
            <w14:solidFill>
              <w14:schemeClr w14:val="tx1"/>
            </w14:solidFill>
          </w14:textFill>
        </w:rPr>
        <w:t>生产用水</w:t>
      </w:r>
      <w:r>
        <w:rPr>
          <w:rFonts w:hint="default" w:ascii="Times New Roman" w:hAnsi="Times New Roman" w:eastAsia="宋体" w:cs="Times New Roman"/>
          <w:color w:val="000000" w:themeColor="text1"/>
          <w:kern w:val="0"/>
          <w:sz w:val="24"/>
          <w:szCs w:val="20"/>
          <w:highlight w:val="none"/>
          <w:lang w:eastAsia="zh-CN"/>
          <w14:textFill>
            <w14:solidFill>
              <w14:schemeClr w14:val="tx1"/>
            </w14:solidFill>
          </w14:textFill>
        </w:rPr>
        <w:t>，</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生产用水</w:t>
      </w:r>
      <w:r>
        <w:rPr>
          <w:rFonts w:hint="default" w:ascii="Times New Roman" w:hAnsi="Times New Roman" w:eastAsia="宋体" w:cs="Times New Roman"/>
          <w:color w:val="000000" w:themeColor="text1"/>
          <w:kern w:val="0"/>
          <w:sz w:val="24"/>
          <w:szCs w:val="20"/>
          <w:highlight w:val="none"/>
          <w14:textFill>
            <w14:solidFill>
              <w14:schemeClr w14:val="tx1"/>
            </w14:solidFill>
          </w14:textFill>
        </w:rPr>
        <w:t>主要为</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纯水制备用水（制备的纯水用作脱脂槽液补充水、清洗补充水、阳极氧化槽补充水</w:t>
      </w:r>
      <w:r>
        <w:rPr>
          <w:rFonts w:hint="default" w:ascii="Times New Roman" w:hAnsi="Times New Roman" w:eastAsia="宋体" w:cs="Times New Roman"/>
          <w:color w:val="000000" w:themeColor="text1"/>
          <w:kern w:val="0"/>
          <w:sz w:val="24"/>
          <w:szCs w:val="20"/>
          <w:highlight w:val="none"/>
          <w14:textFill>
            <w14:solidFill>
              <w14:schemeClr w14:val="tx1"/>
            </w14:solidFill>
          </w14:textFill>
        </w:rPr>
        <w:t>、</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封闭槽补充水）、喷淋塔补充水、阳极氧化车间地面保洁用水</w:t>
      </w:r>
      <w:r>
        <w:rPr>
          <w:rFonts w:hint="default" w:ascii="Times New Roman" w:hAnsi="Times New Roman" w:eastAsia="宋体" w:cs="Times New Roman"/>
          <w:color w:val="auto"/>
          <w:kern w:val="0"/>
          <w:sz w:val="24"/>
          <w:szCs w:val="20"/>
          <w:highlight w:val="none"/>
        </w:rPr>
        <w:t>；</w:t>
      </w:r>
      <w:r>
        <w:rPr>
          <w:rFonts w:hint="default" w:ascii="Times New Roman" w:hAnsi="Times New Roman" w:eastAsia="宋体" w:cs="Times New Roman"/>
          <w:color w:val="auto"/>
          <w:sz w:val="24"/>
          <w:szCs w:val="20"/>
          <w:highlight w:val="none"/>
        </w:rPr>
        <w:t>项目不设宿舍、食堂</w:t>
      </w:r>
      <w:r>
        <w:rPr>
          <w:rFonts w:hint="default" w:ascii="Times New Roman" w:hAnsi="Times New Roman" w:eastAsia="宋体" w:cs="Times New Roman"/>
          <w:color w:val="auto"/>
          <w:sz w:val="24"/>
          <w:szCs w:val="20"/>
          <w:highlight w:val="none"/>
          <w:lang w:eastAsia="zh-CN"/>
        </w:rPr>
        <w:t>、</w:t>
      </w:r>
      <w:r>
        <w:rPr>
          <w:rFonts w:hint="default" w:ascii="Times New Roman" w:hAnsi="Times New Roman" w:eastAsia="宋体" w:cs="Times New Roman"/>
          <w:color w:val="auto"/>
          <w:sz w:val="24"/>
          <w:szCs w:val="20"/>
          <w:highlight w:val="none"/>
          <w:lang w:val="en-US" w:eastAsia="zh-CN"/>
        </w:rPr>
        <w:t>浴室</w:t>
      </w:r>
      <w:r>
        <w:rPr>
          <w:rFonts w:hint="default" w:ascii="Times New Roman" w:hAnsi="Times New Roman" w:eastAsia="宋体" w:cs="Times New Roman"/>
          <w:color w:val="auto"/>
          <w:kern w:val="0"/>
          <w:sz w:val="24"/>
          <w:szCs w:val="20"/>
          <w:highlight w:val="none"/>
        </w:rPr>
        <w:t>。</w:t>
      </w:r>
    </w:p>
    <w:p w14:paraId="1EB66491">
      <w:pPr>
        <w:spacing w:line="360" w:lineRule="auto"/>
        <w:ind w:firstLine="480" w:firstLineChars="200"/>
        <w:jc w:val="both"/>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①生活用水：本次项目劳动定员15人，用水标准为30L/d·人，年工作250d，日用水量0.45m</w:t>
      </w:r>
      <w:r>
        <w:rPr>
          <w:rFonts w:hint="default" w:ascii="Times New Roman" w:hAnsi="Times New Roman" w:eastAsia="宋体" w:cs="Times New Roman"/>
          <w:color w:val="000000" w:themeColor="text1"/>
          <w:kern w:val="0"/>
          <w:sz w:val="24"/>
          <w:szCs w:val="20"/>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vertAlign w:val="baseline"/>
          <w:lang w:val="en-US" w:eastAsia="zh-CN"/>
          <w14:textFill>
            <w14:solidFill>
              <w14:schemeClr w14:val="tx1"/>
            </w14:solidFill>
          </w14:textFill>
        </w:rPr>
        <w:t>/d</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，年用水量为112.5m</w:t>
      </w:r>
      <w:r>
        <w:rPr>
          <w:rFonts w:hint="default" w:ascii="Times New Roman" w:hAnsi="Times New Roman" w:eastAsia="宋体" w:cs="Times New Roman"/>
          <w:color w:val="000000" w:themeColor="text1"/>
          <w:kern w:val="0"/>
          <w:sz w:val="24"/>
          <w:szCs w:val="20"/>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vertAlign w:val="baseline"/>
          <w:lang w:val="en-US" w:eastAsia="zh-CN"/>
          <w14:textFill>
            <w14:solidFill>
              <w14:schemeClr w14:val="tx1"/>
            </w14:solidFill>
          </w14:textFill>
        </w:rPr>
        <w:t>/a</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w:t>
      </w:r>
    </w:p>
    <w:p w14:paraId="0DD09DFD">
      <w:pPr>
        <w:spacing w:line="360" w:lineRule="auto"/>
        <w:ind w:firstLine="480" w:firstLineChars="200"/>
        <w:jc w:val="both"/>
        <w:rPr>
          <w:rFonts w:hint="default" w:ascii="Times New Roman" w:hAnsi="Times New Roman" w:eastAsia="宋体" w:cs="Times New Roman"/>
          <w:color w:val="auto"/>
          <w:kern w:val="0"/>
          <w:sz w:val="24"/>
          <w:szCs w:val="20"/>
          <w:highlight w:val="none"/>
          <w:lang w:val="en-US" w:eastAsia="zh-CN"/>
        </w:rPr>
      </w:pP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②阳极氧化车间地面保洁用水：项目规划每7天对阳极氧化车间进行湿式保洁，其他车间采用干式保洁，保洁用水取</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3L/m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highlight w:val="none"/>
          <w:vertAlign w:val="baseline"/>
          <w:lang w:val="en-US" w:eastAsia="zh-CN"/>
          <w14:textFill>
            <w14:solidFill>
              <w14:schemeClr w14:val="tx1"/>
            </w14:solidFill>
          </w14:textFill>
        </w:rPr>
        <w:t>·d，阳极氧化车间面积约315m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highlight w:val="none"/>
          <w:vertAlign w:val="baseline"/>
          <w:lang w:val="en-US" w:eastAsia="zh-CN"/>
          <w14:textFill>
            <w14:solidFill>
              <w14:schemeClr w14:val="tx1"/>
            </w14:solidFill>
          </w14:textFill>
        </w:rPr>
        <w:t>，</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日用水量0.136m</w:t>
      </w:r>
      <w:r>
        <w:rPr>
          <w:rFonts w:hint="default" w:ascii="Times New Roman" w:hAnsi="Times New Roman" w:eastAsia="宋体" w:cs="Times New Roman"/>
          <w:color w:val="000000" w:themeColor="text1"/>
          <w:kern w:val="0"/>
          <w:sz w:val="24"/>
          <w:szCs w:val="20"/>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vertAlign w:val="baseline"/>
          <w:lang w:val="en-US" w:eastAsia="zh-CN"/>
          <w14:textFill>
            <w14:solidFill>
              <w14:schemeClr w14:val="tx1"/>
            </w14:solidFill>
          </w14:textFill>
        </w:rPr>
        <w:t>/d</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，年用水量为34m</w:t>
      </w:r>
      <w:r>
        <w:rPr>
          <w:rFonts w:hint="default" w:ascii="Times New Roman" w:hAnsi="Times New Roman" w:eastAsia="宋体" w:cs="Times New Roman"/>
          <w:color w:val="000000" w:themeColor="text1"/>
          <w:kern w:val="0"/>
          <w:sz w:val="24"/>
          <w:szCs w:val="20"/>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vertAlign w:val="baseline"/>
          <w:lang w:val="en-US" w:eastAsia="zh-CN"/>
          <w14:textFill>
            <w14:solidFill>
              <w14:schemeClr w14:val="tx1"/>
            </w14:solidFill>
          </w14:textFill>
        </w:rPr>
        <w:t>/a</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。车间冲洗用水来自纯水制备</w:t>
      </w:r>
      <w:r>
        <w:rPr>
          <w:rFonts w:hint="default" w:ascii="Times New Roman" w:hAnsi="Times New Roman" w:eastAsia="宋体" w:cs="Times New Roman"/>
          <w:color w:val="auto"/>
          <w:kern w:val="0"/>
          <w:sz w:val="24"/>
          <w:szCs w:val="20"/>
          <w:highlight w:val="none"/>
          <w:lang w:val="en-US" w:eastAsia="zh-CN"/>
        </w:rPr>
        <w:t>尾水</w:t>
      </w:r>
      <w:r>
        <w:rPr>
          <w:rFonts w:hint="eastAsia" w:ascii="Times New Roman" w:hAnsi="Times New Roman" w:eastAsia="宋体" w:cs="Times New Roman"/>
          <w:color w:val="auto"/>
          <w:kern w:val="0"/>
          <w:sz w:val="24"/>
          <w:szCs w:val="20"/>
          <w:highlight w:val="none"/>
          <w:lang w:val="en-US" w:eastAsia="zh-CN"/>
        </w:rPr>
        <w:t>和新鲜水</w:t>
      </w:r>
      <w:r>
        <w:rPr>
          <w:rFonts w:hint="default" w:ascii="Times New Roman" w:hAnsi="Times New Roman" w:eastAsia="宋体" w:cs="Times New Roman"/>
          <w:color w:val="auto"/>
          <w:kern w:val="0"/>
          <w:sz w:val="24"/>
          <w:szCs w:val="20"/>
          <w:highlight w:val="none"/>
          <w:lang w:val="en-US" w:eastAsia="zh-CN"/>
        </w:rPr>
        <w:t>。</w:t>
      </w:r>
    </w:p>
    <w:p w14:paraId="0A221D17">
      <w:pPr>
        <w:spacing w:line="360" w:lineRule="auto"/>
        <w:ind w:firstLine="480" w:firstLineChars="200"/>
        <w:jc w:val="both"/>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③生产线用水：本项目生产线用水主要为脱脂槽液补充水、清洗补充水、阳极氧化槽补充水</w:t>
      </w:r>
      <w:r>
        <w:rPr>
          <w:rFonts w:hint="default" w:ascii="Times New Roman" w:hAnsi="Times New Roman" w:eastAsia="宋体" w:cs="Times New Roman"/>
          <w:color w:val="000000" w:themeColor="text1"/>
          <w:kern w:val="0"/>
          <w:sz w:val="24"/>
          <w:szCs w:val="20"/>
          <w:highlight w:val="none"/>
          <w14:textFill>
            <w14:solidFill>
              <w14:schemeClr w14:val="tx1"/>
            </w14:solidFill>
          </w14:textFill>
        </w:rPr>
        <w:t>、</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封闭槽补充水，各槽体更换时补充水以及槽体清洗用水，生产线使用均为纯水。具体情况如下：</w:t>
      </w:r>
    </w:p>
    <w:p w14:paraId="5F2B14C4">
      <w:pPr>
        <w:keepNext w:val="0"/>
        <w:keepLines w:val="0"/>
        <w:pageBreakBefore w:val="0"/>
        <w:widowControl w:val="0"/>
        <w:kinsoku/>
        <w:wordWrap/>
        <w:overflowPunct/>
        <w:topLinePunct w:val="0"/>
        <w:autoSpaceDE/>
        <w:autoSpaceDN/>
        <w:bidi w:val="0"/>
        <w:adjustRightInd w:val="0"/>
        <w:snapToGrid w:val="0"/>
        <w:spacing w:line="480" w:lineRule="exact"/>
        <w:jc w:val="center"/>
        <w:textAlignment w:val="auto"/>
        <w:rPr>
          <w:rFonts w:hint="eastAsia" w:ascii="Times New Roman" w:hAnsi="Times New Roman" w:eastAsiaTheme="minorEastAsia"/>
          <w:b/>
          <w:color w:val="auto"/>
          <w:sz w:val="24"/>
          <w:szCs w:val="24"/>
          <w:highlight w:val="none"/>
          <w:lang w:val="en-US" w:eastAsia="zh-CN"/>
        </w:rPr>
      </w:pPr>
      <w:r>
        <w:rPr>
          <w:rFonts w:hint="eastAsia" w:ascii="Times New Roman" w:hAnsi="Times New Roman" w:eastAsiaTheme="minorEastAsia"/>
          <w:b/>
          <w:color w:val="auto"/>
          <w:sz w:val="24"/>
          <w:szCs w:val="24"/>
          <w:highlight w:val="none"/>
          <w:lang w:val="en-US" w:eastAsia="zh-CN"/>
        </w:rPr>
        <w:t>表3-6  生产线纯水用水情况表</w:t>
      </w:r>
    </w:p>
    <w:tbl>
      <w:tblPr>
        <w:tblStyle w:val="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9"/>
        <w:gridCol w:w="857"/>
        <w:gridCol w:w="4910"/>
        <w:gridCol w:w="1198"/>
        <w:gridCol w:w="1085"/>
      </w:tblGrid>
      <w:tr w14:paraId="643C6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vAlign w:val="center"/>
          </w:tcPr>
          <w:p w14:paraId="67C56C1E">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color w:val="000000" w:themeColor="text1"/>
                <w:sz w:val="21"/>
                <w:szCs w:val="21"/>
                <w:highlight w:val="none"/>
                <w:lang w:val="en-US" w:eastAsia="zh-CN"/>
                <w14:textFill>
                  <w14:solidFill>
                    <w14:schemeClr w14:val="tx1"/>
                  </w14:solidFill>
                </w14:textFill>
              </w:rPr>
              <w:t>序号</w:t>
            </w:r>
          </w:p>
        </w:tc>
        <w:tc>
          <w:tcPr>
            <w:tcW w:w="502" w:type="pct"/>
            <w:vAlign w:val="center"/>
          </w:tcPr>
          <w:p w14:paraId="5A5DB5E5">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color w:val="000000" w:themeColor="text1"/>
                <w:sz w:val="21"/>
                <w:szCs w:val="21"/>
                <w:highlight w:val="none"/>
                <w:lang w:val="en-US" w:eastAsia="zh-CN"/>
                <w14:textFill>
                  <w14:solidFill>
                    <w14:schemeClr w14:val="tx1"/>
                  </w14:solidFill>
                </w14:textFill>
              </w:rPr>
              <w:t>名称</w:t>
            </w:r>
          </w:p>
        </w:tc>
        <w:tc>
          <w:tcPr>
            <w:tcW w:w="2881" w:type="pct"/>
            <w:vAlign w:val="center"/>
          </w:tcPr>
          <w:p w14:paraId="1D11010E">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color w:val="000000" w:themeColor="text1"/>
                <w:sz w:val="21"/>
                <w:szCs w:val="21"/>
                <w:highlight w:val="none"/>
                <w:lang w:val="en-US" w:eastAsia="zh-CN"/>
                <w14:textFill>
                  <w14:solidFill>
                    <w14:schemeClr w14:val="tx1"/>
                  </w14:solidFill>
                </w14:textFill>
              </w:rPr>
              <w:t>用水情况</w:t>
            </w:r>
          </w:p>
        </w:tc>
        <w:tc>
          <w:tcPr>
            <w:tcW w:w="703" w:type="pct"/>
            <w:vAlign w:val="center"/>
          </w:tcPr>
          <w:p w14:paraId="582D1C0B">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color w:val="000000" w:themeColor="text1"/>
                <w:sz w:val="21"/>
                <w:szCs w:val="21"/>
                <w:highlight w:val="none"/>
                <w:lang w:val="en-US" w:eastAsia="zh-CN"/>
                <w14:textFill>
                  <w14:solidFill>
                    <w14:schemeClr w14:val="tx1"/>
                  </w14:solidFill>
                </w14:textFill>
              </w:rPr>
              <w:t>日用水情况（m</w:t>
            </w:r>
            <w:r>
              <w:rPr>
                <w:rFonts w:hint="default" w:ascii="Times New Roman" w:hAnsi="Times New Roman" w:eastAsia="宋体" w:cs="Times New Roman"/>
                <w:b/>
                <w:color w:val="000000" w:themeColor="text1"/>
                <w:sz w:val="21"/>
                <w:szCs w:val="21"/>
                <w:highlight w:val="none"/>
                <w:vertAlign w:val="superscript"/>
                <w:lang w:val="en-US" w:eastAsia="zh-CN"/>
                <w14:textFill>
                  <w14:solidFill>
                    <w14:schemeClr w14:val="tx1"/>
                  </w14:solidFill>
                </w14:textFill>
              </w:rPr>
              <w:t>3</w:t>
            </w:r>
            <w:r>
              <w:rPr>
                <w:rFonts w:hint="default" w:ascii="Times New Roman" w:hAnsi="Times New Roman" w:eastAsia="宋体" w:cs="Times New Roman"/>
                <w:b/>
                <w:color w:val="000000" w:themeColor="text1"/>
                <w:sz w:val="21"/>
                <w:szCs w:val="21"/>
                <w:highlight w:val="none"/>
                <w:lang w:val="en-US" w:eastAsia="zh-CN"/>
                <w14:textFill>
                  <w14:solidFill>
                    <w14:schemeClr w14:val="tx1"/>
                  </w14:solidFill>
                </w14:textFill>
              </w:rPr>
              <w:t>）</w:t>
            </w:r>
          </w:p>
        </w:tc>
        <w:tc>
          <w:tcPr>
            <w:tcW w:w="636" w:type="pct"/>
            <w:vAlign w:val="center"/>
          </w:tcPr>
          <w:p w14:paraId="1EB42287">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color w:val="000000" w:themeColor="text1"/>
                <w:sz w:val="21"/>
                <w:szCs w:val="21"/>
                <w:highlight w:val="none"/>
                <w:lang w:val="en-US" w:eastAsia="zh-CN"/>
                <w14:textFill>
                  <w14:solidFill>
                    <w14:schemeClr w14:val="tx1"/>
                  </w14:solidFill>
                </w14:textFill>
              </w:rPr>
              <w:t>年用水情况（m</w:t>
            </w:r>
            <w:r>
              <w:rPr>
                <w:rFonts w:hint="default" w:ascii="Times New Roman" w:hAnsi="Times New Roman" w:eastAsia="宋体" w:cs="Times New Roman"/>
                <w:b/>
                <w:color w:val="000000" w:themeColor="text1"/>
                <w:sz w:val="21"/>
                <w:szCs w:val="21"/>
                <w:highlight w:val="none"/>
                <w:vertAlign w:val="superscript"/>
                <w:lang w:val="en-US" w:eastAsia="zh-CN"/>
                <w14:textFill>
                  <w14:solidFill>
                    <w14:schemeClr w14:val="tx1"/>
                  </w14:solidFill>
                </w14:textFill>
              </w:rPr>
              <w:t>3</w:t>
            </w:r>
            <w:r>
              <w:rPr>
                <w:rFonts w:hint="default" w:ascii="Times New Roman" w:hAnsi="Times New Roman" w:eastAsia="宋体" w:cs="Times New Roman"/>
                <w:b/>
                <w:color w:val="000000" w:themeColor="text1"/>
                <w:sz w:val="21"/>
                <w:szCs w:val="21"/>
                <w:highlight w:val="none"/>
                <w:lang w:val="en-US" w:eastAsia="zh-CN"/>
                <w14:textFill>
                  <w14:solidFill>
                    <w14:schemeClr w14:val="tx1"/>
                  </w14:solidFill>
                </w14:textFill>
              </w:rPr>
              <w:t>）</w:t>
            </w:r>
          </w:p>
        </w:tc>
      </w:tr>
      <w:tr w14:paraId="2B3F6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7" w:hRule="atLeast"/>
        </w:trPr>
        <w:tc>
          <w:tcPr>
            <w:tcW w:w="275" w:type="pct"/>
            <w:vAlign w:val="center"/>
          </w:tcPr>
          <w:p w14:paraId="69A4BB0A">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1</w:t>
            </w:r>
          </w:p>
        </w:tc>
        <w:tc>
          <w:tcPr>
            <w:tcW w:w="502" w:type="pct"/>
            <w:vAlign w:val="center"/>
          </w:tcPr>
          <w:p w14:paraId="4F86E1DA">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脱脂槽补充水</w:t>
            </w:r>
          </w:p>
        </w:tc>
        <w:tc>
          <w:tcPr>
            <w:tcW w:w="2881" w:type="pct"/>
            <w:vAlign w:val="center"/>
          </w:tcPr>
          <w:p w14:paraId="029B75E4">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项目设置1个脱脂槽</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14:textFill>
                  <w14:solidFill>
                    <w14:schemeClr w14:val="tx1"/>
                  </w14:solidFill>
                </w14:textFill>
              </w:rPr>
              <w:t>平均每天</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损耗水量按池体有效槽液量的10%进行计算为0.</w:t>
            </w:r>
            <w:r>
              <w:rPr>
                <w:rFonts w:hint="eastAsia" w:eastAsia="宋体" w:cs="Times New Roman"/>
                <w:color w:val="000000" w:themeColor="text1"/>
                <w:sz w:val="21"/>
                <w:szCs w:val="21"/>
                <w:highlight w:val="none"/>
                <w:lang w:val="en-US" w:eastAsia="zh-CN"/>
                <w14:textFill>
                  <w14:solidFill>
                    <w14:schemeClr w14:val="tx1"/>
                  </w14:solidFill>
                </w14:textFill>
              </w:rPr>
              <w:t>24</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/d，</w:t>
            </w:r>
            <w:r>
              <w:rPr>
                <w:rFonts w:hint="eastAsia" w:eastAsia="宋体" w:cs="Times New Roman"/>
                <w:color w:val="000000" w:themeColor="text1"/>
                <w:sz w:val="21"/>
                <w:szCs w:val="21"/>
                <w:highlight w:val="none"/>
                <w:lang w:val="en-US" w:eastAsia="zh-CN"/>
                <w14:textFill>
                  <w14:solidFill>
                    <w14:schemeClr w14:val="tx1"/>
                  </w14:solidFill>
                </w14:textFill>
              </w:rPr>
              <w:t>60</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/a</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槽液</w:t>
            </w:r>
            <w:r>
              <w:rPr>
                <w:rFonts w:hint="default" w:ascii="Times New Roman" w:hAnsi="Times New Roman" w:eastAsia="宋体" w:cs="Times New Roman"/>
                <w:color w:val="000000" w:themeColor="text1"/>
                <w:sz w:val="21"/>
                <w:szCs w:val="21"/>
                <w:highlight w:val="none"/>
                <w14:textFill>
                  <w14:solidFill>
                    <w14:schemeClr w14:val="tx1"/>
                  </w14:solidFill>
                </w14:textFill>
              </w:rPr>
              <w:t>更换频次为</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3个月1次</w:t>
            </w:r>
            <w:r>
              <w:rPr>
                <w:rFonts w:hint="default" w:ascii="Times New Roman" w:hAnsi="Times New Roman" w:eastAsia="宋体" w:cs="Times New Roman"/>
                <w:color w:val="000000" w:themeColor="text1"/>
                <w:sz w:val="21"/>
                <w:szCs w:val="21"/>
                <w:highlight w:val="none"/>
                <w14:textFill>
                  <w14:solidFill>
                    <w14:schemeClr w14:val="tx1"/>
                  </w14:solidFill>
                </w14:textFill>
              </w:rPr>
              <w:t>，年更换</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4</w:t>
            </w:r>
            <w:r>
              <w:rPr>
                <w:rFonts w:hint="default" w:ascii="Times New Roman" w:hAnsi="Times New Roman" w:eastAsia="宋体" w:cs="Times New Roman"/>
                <w:color w:val="000000" w:themeColor="text1"/>
                <w:sz w:val="21"/>
                <w:szCs w:val="21"/>
                <w:highlight w:val="none"/>
                <w14:textFill>
                  <w14:solidFill>
                    <w14:schemeClr w14:val="tx1"/>
                  </w14:solidFill>
                </w14:textFill>
              </w:rPr>
              <w:t>次，</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年更换用水量为</w:t>
            </w:r>
            <w:r>
              <w:rPr>
                <w:rFonts w:hint="eastAsia" w:eastAsia="宋体" w:cs="Times New Roman"/>
                <w:color w:val="000000" w:themeColor="text1"/>
                <w:sz w:val="21"/>
                <w:szCs w:val="21"/>
                <w:highlight w:val="none"/>
                <w:lang w:val="en-US" w:eastAsia="zh-CN"/>
                <w14:textFill>
                  <w14:solidFill>
                    <w14:schemeClr w14:val="tx1"/>
                  </w14:solidFill>
                </w14:textFill>
              </w:rPr>
              <w:t>9.6</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。则年用水量为</w:t>
            </w:r>
            <w:r>
              <w:rPr>
                <w:rFonts w:hint="eastAsia" w:eastAsia="宋体" w:cs="Times New Roman"/>
                <w:color w:val="000000" w:themeColor="text1"/>
                <w:sz w:val="21"/>
                <w:szCs w:val="21"/>
                <w:highlight w:val="none"/>
                <w:vertAlign w:val="baseline"/>
                <w:lang w:val="en-US" w:eastAsia="zh-CN"/>
                <w14:textFill>
                  <w14:solidFill>
                    <w14:schemeClr w14:val="tx1"/>
                  </w14:solidFill>
                </w14:textFill>
              </w:rPr>
              <w:t>69.6</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日平均用水量为0.</w:t>
            </w:r>
            <w:r>
              <w:rPr>
                <w:rFonts w:hint="eastAsia" w:eastAsia="宋体" w:cs="Times New Roman"/>
                <w:color w:val="000000" w:themeColor="text1"/>
                <w:sz w:val="21"/>
                <w:szCs w:val="21"/>
                <w:highlight w:val="none"/>
                <w:vertAlign w:val="baseline"/>
                <w:lang w:val="en-US" w:eastAsia="zh-CN"/>
                <w14:textFill>
                  <w14:solidFill>
                    <w14:schemeClr w14:val="tx1"/>
                  </w14:solidFill>
                </w14:textFill>
              </w:rPr>
              <w:t>2784</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p>
        </w:tc>
        <w:tc>
          <w:tcPr>
            <w:tcW w:w="703" w:type="pct"/>
            <w:vAlign w:val="center"/>
          </w:tcPr>
          <w:p w14:paraId="1DCF50C5">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0.</w:t>
            </w:r>
            <w:r>
              <w:rPr>
                <w:rFonts w:hint="eastAsia" w:eastAsia="宋体" w:cs="Times New Roman"/>
                <w:b w:val="0"/>
                <w:bCs/>
                <w:color w:val="000000" w:themeColor="text1"/>
                <w:sz w:val="21"/>
                <w:szCs w:val="21"/>
                <w:highlight w:val="none"/>
                <w:lang w:val="en-US" w:eastAsia="zh-CN"/>
                <w14:textFill>
                  <w14:solidFill>
                    <w14:schemeClr w14:val="tx1"/>
                  </w14:solidFill>
                </w14:textFill>
              </w:rPr>
              <w:t>2784</w:t>
            </w:r>
          </w:p>
        </w:tc>
        <w:tc>
          <w:tcPr>
            <w:tcW w:w="636" w:type="pct"/>
            <w:vAlign w:val="center"/>
          </w:tcPr>
          <w:p w14:paraId="1208EE20">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eastAsia="宋体" w:cs="Times New Roman"/>
                <w:b w:val="0"/>
                <w:bCs/>
                <w:color w:val="000000" w:themeColor="text1"/>
                <w:sz w:val="21"/>
                <w:szCs w:val="21"/>
                <w:highlight w:val="none"/>
                <w:lang w:val="en-US" w:eastAsia="zh-CN"/>
                <w14:textFill>
                  <w14:solidFill>
                    <w14:schemeClr w14:val="tx1"/>
                  </w14:solidFill>
                </w14:textFill>
              </w:rPr>
              <w:t>69.6</w:t>
            </w:r>
          </w:p>
        </w:tc>
      </w:tr>
      <w:tr w14:paraId="4C31E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3" w:hRule="atLeast"/>
        </w:trPr>
        <w:tc>
          <w:tcPr>
            <w:tcW w:w="275" w:type="pct"/>
            <w:vAlign w:val="center"/>
          </w:tcPr>
          <w:p w14:paraId="152C2801">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2</w:t>
            </w:r>
          </w:p>
        </w:tc>
        <w:tc>
          <w:tcPr>
            <w:tcW w:w="502" w:type="pct"/>
            <w:vAlign w:val="center"/>
          </w:tcPr>
          <w:p w14:paraId="57A65CD3">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水洗槽①补充水</w:t>
            </w:r>
          </w:p>
        </w:tc>
        <w:tc>
          <w:tcPr>
            <w:tcW w:w="2881" w:type="pct"/>
            <w:vAlign w:val="center"/>
          </w:tcPr>
          <w:p w14:paraId="1A737614">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脱脂水洗槽①</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14:textFill>
                  <w14:solidFill>
                    <w14:schemeClr w14:val="tx1"/>
                  </w14:solidFill>
                </w14:textFill>
              </w:rPr>
              <w:t>平均每天</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损耗水量按池体有效槽液量的10%进行计算为0.</w:t>
            </w:r>
            <w:r>
              <w:rPr>
                <w:rFonts w:hint="eastAsia" w:eastAsia="宋体" w:cs="Times New Roman"/>
                <w:color w:val="000000" w:themeColor="text1"/>
                <w:sz w:val="21"/>
                <w:szCs w:val="21"/>
                <w:highlight w:val="none"/>
                <w:lang w:val="en-US" w:eastAsia="zh-CN"/>
                <w14:textFill>
                  <w14:solidFill>
                    <w14:schemeClr w14:val="tx1"/>
                  </w14:solidFill>
                </w14:textFill>
              </w:rPr>
              <w:t>3</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/d，</w:t>
            </w:r>
            <w:r>
              <w:rPr>
                <w:rFonts w:hint="eastAsia" w:eastAsia="宋体" w:cs="Times New Roman"/>
                <w:color w:val="000000" w:themeColor="text1"/>
                <w:sz w:val="21"/>
                <w:szCs w:val="21"/>
                <w:highlight w:val="none"/>
                <w:lang w:val="en-US" w:eastAsia="zh-CN"/>
                <w14:textFill>
                  <w14:solidFill>
                    <w14:schemeClr w14:val="tx1"/>
                  </w14:solidFill>
                </w14:textFill>
              </w:rPr>
              <w:t>75</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/a</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槽液</w:t>
            </w:r>
            <w:r>
              <w:rPr>
                <w:rFonts w:hint="default" w:ascii="Times New Roman" w:hAnsi="Times New Roman" w:eastAsia="宋体" w:cs="Times New Roman"/>
                <w:color w:val="000000" w:themeColor="text1"/>
                <w:sz w:val="21"/>
                <w:szCs w:val="21"/>
                <w:highlight w:val="none"/>
                <w14:textFill>
                  <w14:solidFill>
                    <w14:schemeClr w14:val="tx1"/>
                  </w14:solidFill>
                </w14:textFill>
              </w:rPr>
              <w:t>更换频次为</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1个月1次</w:t>
            </w:r>
            <w:r>
              <w:rPr>
                <w:rFonts w:hint="default" w:ascii="Times New Roman" w:hAnsi="Times New Roman" w:eastAsia="宋体" w:cs="Times New Roman"/>
                <w:color w:val="000000" w:themeColor="text1"/>
                <w:sz w:val="21"/>
                <w:szCs w:val="21"/>
                <w:highlight w:val="none"/>
                <w14:textFill>
                  <w14:solidFill>
                    <w14:schemeClr w14:val="tx1"/>
                  </w14:solidFill>
                </w14:textFill>
              </w:rPr>
              <w:t>，年更换</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12</w:t>
            </w:r>
            <w:r>
              <w:rPr>
                <w:rFonts w:hint="default" w:ascii="Times New Roman" w:hAnsi="Times New Roman" w:eastAsia="宋体" w:cs="Times New Roman"/>
                <w:color w:val="000000" w:themeColor="text1"/>
                <w:sz w:val="21"/>
                <w:szCs w:val="21"/>
                <w:highlight w:val="none"/>
                <w14:textFill>
                  <w14:solidFill>
                    <w14:schemeClr w14:val="tx1"/>
                  </w14:solidFill>
                </w14:textFill>
              </w:rPr>
              <w:t>次，</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年更换用水量为</w:t>
            </w:r>
            <w:r>
              <w:rPr>
                <w:rFonts w:hint="eastAsia" w:eastAsia="宋体" w:cs="Times New Roman"/>
                <w:color w:val="000000" w:themeColor="text1"/>
                <w:sz w:val="21"/>
                <w:szCs w:val="21"/>
                <w:highlight w:val="none"/>
                <w:lang w:val="en-US" w:eastAsia="zh-CN"/>
                <w14:textFill>
                  <w14:solidFill>
                    <w14:schemeClr w14:val="tx1"/>
                  </w14:solidFill>
                </w14:textFill>
              </w:rPr>
              <w:t>36</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。则年用水量为</w:t>
            </w:r>
            <w:r>
              <w:rPr>
                <w:rFonts w:hint="eastAsia" w:eastAsia="宋体" w:cs="Times New Roman"/>
                <w:color w:val="000000" w:themeColor="text1"/>
                <w:sz w:val="21"/>
                <w:szCs w:val="21"/>
                <w:highlight w:val="none"/>
                <w:vertAlign w:val="baseline"/>
                <w:lang w:val="en-US" w:eastAsia="zh-CN"/>
                <w14:textFill>
                  <w14:solidFill>
                    <w14:schemeClr w14:val="tx1"/>
                  </w14:solidFill>
                </w14:textFill>
              </w:rPr>
              <w:t>111</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日平均用水量为0.</w:t>
            </w:r>
            <w:r>
              <w:rPr>
                <w:rFonts w:hint="eastAsia" w:eastAsia="宋体" w:cs="Times New Roman"/>
                <w:color w:val="000000" w:themeColor="text1"/>
                <w:sz w:val="21"/>
                <w:szCs w:val="21"/>
                <w:highlight w:val="none"/>
                <w:vertAlign w:val="baseline"/>
                <w:lang w:val="en-US" w:eastAsia="zh-CN"/>
                <w14:textFill>
                  <w14:solidFill>
                    <w14:schemeClr w14:val="tx1"/>
                  </w14:solidFill>
                </w14:textFill>
              </w:rPr>
              <w:t>444</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p>
        </w:tc>
        <w:tc>
          <w:tcPr>
            <w:tcW w:w="703" w:type="pct"/>
            <w:vAlign w:val="center"/>
          </w:tcPr>
          <w:p w14:paraId="1EF6D4E8">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0.</w:t>
            </w:r>
            <w:r>
              <w:rPr>
                <w:rFonts w:hint="eastAsia" w:eastAsia="宋体" w:cs="Times New Roman"/>
                <w:b w:val="0"/>
                <w:bCs/>
                <w:color w:val="000000" w:themeColor="text1"/>
                <w:sz w:val="21"/>
                <w:szCs w:val="21"/>
                <w:highlight w:val="none"/>
                <w:lang w:val="en-US" w:eastAsia="zh-CN"/>
                <w14:textFill>
                  <w14:solidFill>
                    <w14:schemeClr w14:val="tx1"/>
                  </w14:solidFill>
                </w14:textFill>
              </w:rPr>
              <w:t>444</w:t>
            </w:r>
          </w:p>
        </w:tc>
        <w:tc>
          <w:tcPr>
            <w:tcW w:w="636" w:type="pct"/>
            <w:vAlign w:val="center"/>
          </w:tcPr>
          <w:p w14:paraId="74D27EA2">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eastAsia="宋体" w:cs="Times New Roman"/>
                <w:b w:val="0"/>
                <w:bCs/>
                <w:color w:val="000000" w:themeColor="text1"/>
                <w:sz w:val="21"/>
                <w:szCs w:val="21"/>
                <w:highlight w:val="none"/>
                <w:lang w:val="en-US" w:eastAsia="zh-CN"/>
                <w14:textFill>
                  <w14:solidFill>
                    <w14:schemeClr w14:val="tx1"/>
                  </w14:solidFill>
                </w14:textFill>
              </w:rPr>
              <w:t>111</w:t>
            </w:r>
          </w:p>
        </w:tc>
      </w:tr>
      <w:tr w14:paraId="667C2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3" w:hRule="atLeast"/>
        </w:trPr>
        <w:tc>
          <w:tcPr>
            <w:tcW w:w="275" w:type="pct"/>
            <w:shd w:val="clear" w:color="auto" w:fill="auto"/>
            <w:vAlign w:val="center"/>
          </w:tcPr>
          <w:p w14:paraId="6FC9488C">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3</w:t>
            </w:r>
          </w:p>
        </w:tc>
        <w:tc>
          <w:tcPr>
            <w:tcW w:w="502" w:type="pct"/>
            <w:vAlign w:val="center"/>
          </w:tcPr>
          <w:p w14:paraId="541F8194">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阳极氧化槽补充水</w:t>
            </w:r>
          </w:p>
        </w:tc>
        <w:tc>
          <w:tcPr>
            <w:tcW w:w="2881" w:type="pct"/>
            <w:vAlign w:val="center"/>
          </w:tcPr>
          <w:p w14:paraId="100ECA59">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项目设置1个硫酸阳极氧化槽，</w:t>
            </w:r>
            <w:r>
              <w:rPr>
                <w:rFonts w:hint="default" w:ascii="Times New Roman" w:hAnsi="Times New Roman" w:eastAsia="宋体" w:cs="Times New Roman"/>
                <w:color w:val="000000" w:themeColor="text1"/>
                <w:sz w:val="21"/>
                <w:szCs w:val="21"/>
                <w:highlight w:val="none"/>
                <w14:textFill>
                  <w14:solidFill>
                    <w14:schemeClr w14:val="tx1"/>
                  </w14:solidFill>
                </w14:textFill>
              </w:rPr>
              <w:t>平均每天</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损耗水量按池体有效槽液量的10%进行计算为0.3</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/d，</w:t>
            </w:r>
            <w:r>
              <w:rPr>
                <w:rFonts w:hint="eastAsia" w:eastAsia="宋体" w:cs="Times New Roman"/>
                <w:color w:val="000000" w:themeColor="text1"/>
                <w:sz w:val="21"/>
                <w:szCs w:val="21"/>
                <w:highlight w:val="none"/>
                <w:lang w:val="en-US" w:eastAsia="zh-CN"/>
                <w14:textFill>
                  <w14:solidFill>
                    <w14:schemeClr w14:val="tx1"/>
                  </w14:solidFill>
                </w14:textFill>
              </w:rPr>
              <w:t>75</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/a</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槽液</w:t>
            </w:r>
            <w:r>
              <w:rPr>
                <w:rFonts w:hint="default" w:ascii="Times New Roman" w:hAnsi="Times New Roman" w:eastAsia="宋体" w:cs="Times New Roman"/>
                <w:color w:val="000000" w:themeColor="text1"/>
                <w:sz w:val="21"/>
                <w:szCs w:val="21"/>
                <w:highlight w:val="none"/>
                <w14:textFill>
                  <w14:solidFill>
                    <w14:schemeClr w14:val="tx1"/>
                  </w14:solidFill>
                </w14:textFill>
              </w:rPr>
              <w:t>更换频次为</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3个月1次</w:t>
            </w:r>
            <w:r>
              <w:rPr>
                <w:rFonts w:hint="default" w:ascii="Times New Roman" w:hAnsi="Times New Roman" w:eastAsia="宋体" w:cs="Times New Roman"/>
                <w:color w:val="000000" w:themeColor="text1"/>
                <w:sz w:val="21"/>
                <w:szCs w:val="21"/>
                <w:highlight w:val="none"/>
                <w14:textFill>
                  <w14:solidFill>
                    <w14:schemeClr w14:val="tx1"/>
                  </w14:solidFill>
                </w14:textFill>
              </w:rPr>
              <w:t>，年更换</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4</w:t>
            </w:r>
            <w:r>
              <w:rPr>
                <w:rFonts w:hint="default" w:ascii="Times New Roman" w:hAnsi="Times New Roman" w:eastAsia="宋体" w:cs="Times New Roman"/>
                <w:color w:val="000000" w:themeColor="text1"/>
                <w:sz w:val="21"/>
                <w:szCs w:val="21"/>
                <w:highlight w:val="none"/>
                <w14:textFill>
                  <w14:solidFill>
                    <w14:schemeClr w14:val="tx1"/>
                  </w14:solidFill>
                </w14:textFill>
              </w:rPr>
              <w:t>次，</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年更换用水量为</w:t>
            </w:r>
            <w:r>
              <w:rPr>
                <w:rFonts w:hint="eastAsia" w:eastAsia="宋体" w:cs="Times New Roman"/>
                <w:color w:val="000000" w:themeColor="text1"/>
                <w:sz w:val="21"/>
                <w:szCs w:val="21"/>
                <w:highlight w:val="none"/>
                <w:lang w:val="en-US" w:eastAsia="zh-CN"/>
                <w14:textFill>
                  <w14:solidFill>
                    <w14:schemeClr w14:val="tx1"/>
                  </w14:solidFill>
                </w14:textFill>
              </w:rPr>
              <w:t>12</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。则年用水量为</w:t>
            </w:r>
            <w:r>
              <w:rPr>
                <w:rFonts w:hint="eastAsia" w:eastAsia="宋体" w:cs="Times New Roman"/>
                <w:color w:val="000000" w:themeColor="text1"/>
                <w:sz w:val="21"/>
                <w:szCs w:val="21"/>
                <w:highlight w:val="none"/>
                <w:vertAlign w:val="baseline"/>
                <w:lang w:val="en-US" w:eastAsia="zh-CN"/>
                <w14:textFill>
                  <w14:solidFill>
                    <w14:schemeClr w14:val="tx1"/>
                  </w14:solidFill>
                </w14:textFill>
              </w:rPr>
              <w:t>87</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日平均用水量为0.</w:t>
            </w:r>
            <w:r>
              <w:rPr>
                <w:rFonts w:hint="eastAsia" w:eastAsia="宋体" w:cs="Times New Roman"/>
                <w:color w:val="000000" w:themeColor="text1"/>
                <w:sz w:val="21"/>
                <w:szCs w:val="21"/>
                <w:highlight w:val="none"/>
                <w:vertAlign w:val="baseline"/>
                <w:lang w:val="en-US" w:eastAsia="zh-CN"/>
                <w14:textFill>
                  <w14:solidFill>
                    <w14:schemeClr w14:val="tx1"/>
                  </w14:solidFill>
                </w14:textFill>
              </w:rPr>
              <w:t>348</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p>
        </w:tc>
        <w:tc>
          <w:tcPr>
            <w:tcW w:w="703" w:type="pct"/>
            <w:vAlign w:val="center"/>
          </w:tcPr>
          <w:p w14:paraId="6702A8AA">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0.</w:t>
            </w:r>
            <w:r>
              <w:rPr>
                <w:rFonts w:hint="eastAsia" w:eastAsia="宋体" w:cs="Times New Roman"/>
                <w:color w:val="000000" w:themeColor="text1"/>
                <w:sz w:val="21"/>
                <w:szCs w:val="21"/>
                <w:highlight w:val="none"/>
                <w:vertAlign w:val="baseline"/>
                <w:lang w:val="en-US" w:eastAsia="zh-CN"/>
                <w14:textFill>
                  <w14:solidFill>
                    <w14:schemeClr w14:val="tx1"/>
                  </w14:solidFill>
                </w14:textFill>
              </w:rPr>
              <w:t>348</w:t>
            </w:r>
          </w:p>
        </w:tc>
        <w:tc>
          <w:tcPr>
            <w:tcW w:w="636" w:type="pct"/>
            <w:vAlign w:val="center"/>
          </w:tcPr>
          <w:p w14:paraId="44D423CC">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eastAsia="宋体" w:cs="Times New Roman"/>
                <w:b w:val="0"/>
                <w:bCs/>
                <w:color w:val="000000" w:themeColor="text1"/>
                <w:sz w:val="21"/>
                <w:szCs w:val="21"/>
                <w:highlight w:val="none"/>
                <w:lang w:val="en-US" w:eastAsia="zh-CN"/>
                <w14:textFill>
                  <w14:solidFill>
                    <w14:schemeClr w14:val="tx1"/>
                  </w14:solidFill>
                </w14:textFill>
              </w:rPr>
              <w:t>87</w:t>
            </w:r>
          </w:p>
        </w:tc>
      </w:tr>
      <w:tr w14:paraId="08E3F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14:paraId="5C47B064">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4</w:t>
            </w:r>
          </w:p>
        </w:tc>
        <w:tc>
          <w:tcPr>
            <w:tcW w:w="502" w:type="pct"/>
            <w:vAlign w:val="center"/>
          </w:tcPr>
          <w:p w14:paraId="2B87C1DA">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水洗槽③补充水</w:t>
            </w:r>
          </w:p>
        </w:tc>
        <w:tc>
          <w:tcPr>
            <w:tcW w:w="2881" w:type="pct"/>
            <w:vAlign w:val="center"/>
          </w:tcPr>
          <w:p w14:paraId="7AE1CD2E">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阳极氧化水洗槽③</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14:textFill>
                  <w14:solidFill>
                    <w14:schemeClr w14:val="tx1"/>
                  </w14:solidFill>
                </w14:textFill>
              </w:rPr>
              <w:t>平均每天</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损耗水量按池体有效槽液量的10%进行计算为0.</w:t>
            </w:r>
            <w:r>
              <w:rPr>
                <w:rFonts w:hint="eastAsia" w:eastAsia="宋体" w:cs="Times New Roman"/>
                <w:color w:val="000000" w:themeColor="text1"/>
                <w:sz w:val="21"/>
                <w:szCs w:val="21"/>
                <w:highlight w:val="none"/>
                <w:lang w:val="en-US" w:eastAsia="zh-CN"/>
                <w14:textFill>
                  <w14:solidFill>
                    <w14:schemeClr w14:val="tx1"/>
                  </w14:solidFill>
                </w14:textFill>
              </w:rPr>
              <w:t>3</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/d，</w:t>
            </w:r>
            <w:r>
              <w:rPr>
                <w:rFonts w:hint="eastAsia" w:eastAsia="宋体" w:cs="Times New Roman"/>
                <w:color w:val="000000" w:themeColor="text1"/>
                <w:sz w:val="21"/>
                <w:szCs w:val="21"/>
                <w:highlight w:val="none"/>
                <w:lang w:val="en-US" w:eastAsia="zh-CN"/>
                <w14:textFill>
                  <w14:solidFill>
                    <w14:schemeClr w14:val="tx1"/>
                  </w14:solidFill>
                </w14:textFill>
              </w:rPr>
              <w:t>75</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/a</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槽液</w:t>
            </w:r>
            <w:r>
              <w:rPr>
                <w:rFonts w:hint="default" w:ascii="Times New Roman" w:hAnsi="Times New Roman" w:eastAsia="宋体" w:cs="Times New Roman"/>
                <w:color w:val="000000" w:themeColor="text1"/>
                <w:sz w:val="21"/>
                <w:szCs w:val="21"/>
                <w:highlight w:val="none"/>
                <w14:textFill>
                  <w14:solidFill>
                    <w14:schemeClr w14:val="tx1"/>
                  </w14:solidFill>
                </w14:textFill>
              </w:rPr>
              <w:t>更换频次为</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1个月1次</w:t>
            </w:r>
            <w:r>
              <w:rPr>
                <w:rFonts w:hint="default" w:ascii="Times New Roman" w:hAnsi="Times New Roman" w:eastAsia="宋体" w:cs="Times New Roman"/>
                <w:color w:val="000000" w:themeColor="text1"/>
                <w:sz w:val="21"/>
                <w:szCs w:val="21"/>
                <w:highlight w:val="none"/>
                <w14:textFill>
                  <w14:solidFill>
                    <w14:schemeClr w14:val="tx1"/>
                  </w14:solidFill>
                </w14:textFill>
              </w:rPr>
              <w:t>，年更换</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12</w:t>
            </w:r>
            <w:r>
              <w:rPr>
                <w:rFonts w:hint="default" w:ascii="Times New Roman" w:hAnsi="Times New Roman" w:eastAsia="宋体" w:cs="Times New Roman"/>
                <w:color w:val="000000" w:themeColor="text1"/>
                <w:sz w:val="21"/>
                <w:szCs w:val="21"/>
                <w:highlight w:val="none"/>
                <w14:textFill>
                  <w14:solidFill>
                    <w14:schemeClr w14:val="tx1"/>
                  </w14:solidFill>
                </w14:textFill>
              </w:rPr>
              <w:t>次，</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年更换用水量为</w:t>
            </w:r>
            <w:r>
              <w:rPr>
                <w:rFonts w:hint="eastAsia" w:eastAsia="宋体" w:cs="Times New Roman"/>
                <w:color w:val="000000" w:themeColor="text1"/>
                <w:sz w:val="21"/>
                <w:szCs w:val="21"/>
                <w:highlight w:val="none"/>
                <w:lang w:val="en-US" w:eastAsia="zh-CN"/>
                <w14:textFill>
                  <w14:solidFill>
                    <w14:schemeClr w14:val="tx1"/>
                  </w14:solidFill>
                </w14:textFill>
              </w:rPr>
              <w:t>36</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。则年用水量为</w:t>
            </w:r>
            <w:r>
              <w:rPr>
                <w:rFonts w:hint="eastAsia" w:eastAsia="宋体" w:cs="Times New Roman"/>
                <w:color w:val="000000" w:themeColor="text1"/>
                <w:sz w:val="21"/>
                <w:szCs w:val="21"/>
                <w:highlight w:val="none"/>
                <w:vertAlign w:val="baseline"/>
                <w:lang w:val="en-US" w:eastAsia="zh-CN"/>
                <w14:textFill>
                  <w14:solidFill>
                    <w14:schemeClr w14:val="tx1"/>
                  </w14:solidFill>
                </w14:textFill>
              </w:rPr>
              <w:t>111</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日平均用水量为0.</w:t>
            </w:r>
            <w:r>
              <w:rPr>
                <w:rFonts w:hint="eastAsia" w:eastAsia="宋体" w:cs="Times New Roman"/>
                <w:color w:val="000000" w:themeColor="text1"/>
                <w:sz w:val="21"/>
                <w:szCs w:val="21"/>
                <w:highlight w:val="none"/>
                <w:vertAlign w:val="baseline"/>
                <w:lang w:val="en-US" w:eastAsia="zh-CN"/>
                <w14:textFill>
                  <w14:solidFill>
                    <w14:schemeClr w14:val="tx1"/>
                  </w14:solidFill>
                </w14:textFill>
              </w:rPr>
              <w:t>444</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p>
        </w:tc>
        <w:tc>
          <w:tcPr>
            <w:tcW w:w="1198" w:type="dxa"/>
            <w:vAlign w:val="center"/>
          </w:tcPr>
          <w:p w14:paraId="2BAF87C0">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0.</w:t>
            </w:r>
            <w:r>
              <w:rPr>
                <w:rFonts w:hint="eastAsia" w:eastAsia="宋体" w:cs="Times New Roman"/>
                <w:b w:val="0"/>
                <w:bCs/>
                <w:color w:val="000000" w:themeColor="text1"/>
                <w:sz w:val="21"/>
                <w:szCs w:val="21"/>
                <w:highlight w:val="none"/>
                <w:lang w:val="en-US" w:eastAsia="zh-CN"/>
                <w14:textFill>
                  <w14:solidFill>
                    <w14:schemeClr w14:val="tx1"/>
                  </w14:solidFill>
                </w14:textFill>
              </w:rPr>
              <w:t>444</w:t>
            </w:r>
          </w:p>
        </w:tc>
        <w:tc>
          <w:tcPr>
            <w:tcW w:w="1085" w:type="dxa"/>
            <w:vAlign w:val="center"/>
          </w:tcPr>
          <w:p w14:paraId="0A7B7DF7">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eastAsia="宋体" w:cs="Times New Roman"/>
                <w:b w:val="0"/>
                <w:bCs/>
                <w:color w:val="000000" w:themeColor="text1"/>
                <w:sz w:val="21"/>
                <w:szCs w:val="21"/>
                <w:highlight w:val="none"/>
                <w:lang w:val="en-US" w:eastAsia="zh-CN"/>
                <w14:textFill>
                  <w14:solidFill>
                    <w14:schemeClr w14:val="tx1"/>
                  </w14:solidFill>
                </w14:textFill>
              </w:rPr>
              <w:t>111</w:t>
            </w:r>
          </w:p>
        </w:tc>
      </w:tr>
      <w:tr w14:paraId="3FFE7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14:paraId="353208DC">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5</w:t>
            </w:r>
          </w:p>
        </w:tc>
        <w:tc>
          <w:tcPr>
            <w:tcW w:w="502" w:type="pct"/>
            <w:vAlign w:val="center"/>
          </w:tcPr>
          <w:p w14:paraId="1129EDB1">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封闭槽补充水</w:t>
            </w:r>
          </w:p>
        </w:tc>
        <w:tc>
          <w:tcPr>
            <w:tcW w:w="2881" w:type="pct"/>
            <w:vAlign w:val="center"/>
          </w:tcPr>
          <w:p w14:paraId="7FC19B02">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封闭槽</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14:textFill>
                  <w14:solidFill>
                    <w14:schemeClr w14:val="tx1"/>
                  </w14:solidFill>
                </w14:textFill>
              </w:rPr>
              <w:t>平均每天</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损耗水量按池体有效槽液量的10%进行计算为0.</w:t>
            </w:r>
            <w:r>
              <w:rPr>
                <w:rFonts w:hint="eastAsia" w:eastAsia="宋体" w:cs="Times New Roman"/>
                <w:color w:val="000000" w:themeColor="text1"/>
                <w:sz w:val="21"/>
                <w:szCs w:val="21"/>
                <w:highlight w:val="none"/>
                <w:lang w:val="en-US" w:eastAsia="zh-CN"/>
                <w14:textFill>
                  <w14:solidFill>
                    <w14:schemeClr w14:val="tx1"/>
                  </w14:solidFill>
                </w14:textFill>
              </w:rPr>
              <w:t>3</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/d，</w:t>
            </w:r>
            <w:r>
              <w:rPr>
                <w:rFonts w:hint="eastAsia" w:eastAsia="宋体" w:cs="Times New Roman"/>
                <w:color w:val="000000" w:themeColor="text1"/>
                <w:sz w:val="21"/>
                <w:szCs w:val="21"/>
                <w:highlight w:val="none"/>
                <w:lang w:val="en-US" w:eastAsia="zh-CN"/>
                <w14:textFill>
                  <w14:solidFill>
                    <w14:schemeClr w14:val="tx1"/>
                  </w14:solidFill>
                </w14:textFill>
              </w:rPr>
              <w:t>75</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/a</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槽液</w:t>
            </w:r>
            <w:r>
              <w:rPr>
                <w:rFonts w:hint="default" w:ascii="Times New Roman" w:hAnsi="Times New Roman" w:eastAsia="宋体" w:cs="Times New Roman"/>
                <w:color w:val="000000" w:themeColor="text1"/>
                <w:sz w:val="21"/>
                <w:szCs w:val="21"/>
                <w:highlight w:val="none"/>
                <w14:textFill>
                  <w14:solidFill>
                    <w14:schemeClr w14:val="tx1"/>
                  </w14:solidFill>
                </w14:textFill>
              </w:rPr>
              <w:t>更换频次为</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3个月1次</w:t>
            </w:r>
            <w:r>
              <w:rPr>
                <w:rFonts w:hint="default" w:ascii="Times New Roman" w:hAnsi="Times New Roman" w:eastAsia="宋体" w:cs="Times New Roman"/>
                <w:color w:val="000000" w:themeColor="text1"/>
                <w:sz w:val="21"/>
                <w:szCs w:val="21"/>
                <w:highlight w:val="none"/>
                <w14:textFill>
                  <w14:solidFill>
                    <w14:schemeClr w14:val="tx1"/>
                  </w14:solidFill>
                </w14:textFill>
              </w:rPr>
              <w:t>，年更换</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4</w:t>
            </w:r>
            <w:r>
              <w:rPr>
                <w:rFonts w:hint="default" w:ascii="Times New Roman" w:hAnsi="Times New Roman" w:eastAsia="宋体" w:cs="Times New Roman"/>
                <w:color w:val="000000" w:themeColor="text1"/>
                <w:sz w:val="21"/>
                <w:szCs w:val="21"/>
                <w:highlight w:val="none"/>
                <w14:textFill>
                  <w14:solidFill>
                    <w14:schemeClr w14:val="tx1"/>
                  </w14:solidFill>
                </w14:textFill>
              </w:rPr>
              <w:t>次，</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年更换用水量为</w:t>
            </w:r>
            <w:r>
              <w:rPr>
                <w:rFonts w:hint="eastAsia" w:eastAsia="宋体" w:cs="Times New Roman"/>
                <w:color w:val="000000" w:themeColor="text1"/>
                <w:sz w:val="21"/>
                <w:szCs w:val="21"/>
                <w:highlight w:val="none"/>
                <w:lang w:val="en-US" w:eastAsia="zh-CN"/>
                <w14:textFill>
                  <w14:solidFill>
                    <w14:schemeClr w14:val="tx1"/>
                  </w14:solidFill>
                </w14:textFill>
              </w:rPr>
              <w:t>12</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。则年用水量为</w:t>
            </w:r>
            <w:r>
              <w:rPr>
                <w:rFonts w:hint="eastAsia" w:eastAsia="宋体" w:cs="Times New Roman"/>
                <w:color w:val="000000" w:themeColor="text1"/>
                <w:sz w:val="21"/>
                <w:szCs w:val="21"/>
                <w:highlight w:val="none"/>
                <w:vertAlign w:val="baseline"/>
                <w:lang w:val="en-US" w:eastAsia="zh-CN"/>
                <w14:textFill>
                  <w14:solidFill>
                    <w14:schemeClr w14:val="tx1"/>
                  </w14:solidFill>
                </w14:textFill>
              </w:rPr>
              <w:t>87</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日平均用水量为0.</w:t>
            </w:r>
            <w:r>
              <w:rPr>
                <w:rFonts w:hint="eastAsia" w:eastAsia="宋体" w:cs="Times New Roman"/>
                <w:color w:val="000000" w:themeColor="text1"/>
                <w:sz w:val="21"/>
                <w:szCs w:val="21"/>
                <w:highlight w:val="none"/>
                <w:vertAlign w:val="baseline"/>
                <w:lang w:val="en-US" w:eastAsia="zh-CN"/>
                <w14:textFill>
                  <w14:solidFill>
                    <w14:schemeClr w14:val="tx1"/>
                  </w14:solidFill>
                </w14:textFill>
              </w:rPr>
              <w:t>348</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p>
        </w:tc>
        <w:tc>
          <w:tcPr>
            <w:tcW w:w="1198" w:type="dxa"/>
            <w:vAlign w:val="center"/>
          </w:tcPr>
          <w:p w14:paraId="698ABB17">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0.</w:t>
            </w:r>
            <w:r>
              <w:rPr>
                <w:rFonts w:hint="eastAsia" w:eastAsia="宋体" w:cs="Times New Roman"/>
                <w:color w:val="000000" w:themeColor="text1"/>
                <w:sz w:val="21"/>
                <w:szCs w:val="21"/>
                <w:highlight w:val="none"/>
                <w:vertAlign w:val="baseline"/>
                <w:lang w:val="en-US" w:eastAsia="zh-CN"/>
                <w14:textFill>
                  <w14:solidFill>
                    <w14:schemeClr w14:val="tx1"/>
                  </w14:solidFill>
                </w14:textFill>
              </w:rPr>
              <w:t>348</w:t>
            </w:r>
          </w:p>
        </w:tc>
        <w:tc>
          <w:tcPr>
            <w:tcW w:w="1085" w:type="dxa"/>
            <w:vAlign w:val="center"/>
          </w:tcPr>
          <w:p w14:paraId="41B95B80">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eastAsia="宋体" w:cs="Times New Roman"/>
                <w:b w:val="0"/>
                <w:bCs/>
                <w:color w:val="000000" w:themeColor="text1"/>
                <w:sz w:val="21"/>
                <w:szCs w:val="21"/>
                <w:highlight w:val="none"/>
                <w:lang w:val="en-US" w:eastAsia="zh-CN"/>
                <w14:textFill>
                  <w14:solidFill>
                    <w14:schemeClr w14:val="tx1"/>
                  </w14:solidFill>
                </w14:textFill>
              </w:rPr>
              <w:t>87</w:t>
            </w:r>
          </w:p>
        </w:tc>
      </w:tr>
      <w:tr w14:paraId="69E61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vAlign w:val="center"/>
          </w:tcPr>
          <w:p w14:paraId="0F686173">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eastAsia="宋体" w:cs="Times New Roman"/>
                <w:b w:val="0"/>
                <w:bCs/>
                <w:color w:val="000000" w:themeColor="text1"/>
                <w:sz w:val="21"/>
                <w:szCs w:val="21"/>
                <w:highlight w:val="none"/>
                <w:lang w:val="en-US" w:eastAsia="zh-CN"/>
                <w14:textFill>
                  <w14:solidFill>
                    <w14:schemeClr w14:val="tx1"/>
                  </w14:solidFill>
                </w14:textFill>
              </w:rPr>
              <w:t>6</w:t>
            </w:r>
          </w:p>
        </w:tc>
        <w:tc>
          <w:tcPr>
            <w:tcW w:w="502" w:type="pct"/>
            <w:vAlign w:val="center"/>
          </w:tcPr>
          <w:p w14:paraId="1B74219E">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水洗槽⑤补充水</w:t>
            </w:r>
          </w:p>
        </w:tc>
        <w:tc>
          <w:tcPr>
            <w:tcW w:w="2881" w:type="pct"/>
            <w:vAlign w:val="center"/>
          </w:tcPr>
          <w:p w14:paraId="44E1A620">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封闭水洗槽⑤</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14:textFill>
                  <w14:solidFill>
                    <w14:schemeClr w14:val="tx1"/>
                  </w14:solidFill>
                </w14:textFill>
              </w:rPr>
              <w:t>平均每天</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损耗水量按池体有效槽液量的10%进行计算为0.</w:t>
            </w:r>
            <w:r>
              <w:rPr>
                <w:rFonts w:hint="eastAsia" w:eastAsia="宋体" w:cs="Times New Roman"/>
                <w:color w:val="000000" w:themeColor="text1"/>
                <w:sz w:val="21"/>
                <w:szCs w:val="21"/>
                <w:highlight w:val="none"/>
                <w:lang w:val="en-US" w:eastAsia="zh-CN"/>
                <w14:textFill>
                  <w14:solidFill>
                    <w14:schemeClr w14:val="tx1"/>
                  </w14:solidFill>
                </w14:textFill>
              </w:rPr>
              <w:t>24</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/d，</w:t>
            </w:r>
            <w:r>
              <w:rPr>
                <w:rFonts w:hint="eastAsia" w:eastAsia="宋体" w:cs="Times New Roman"/>
                <w:color w:val="000000" w:themeColor="text1"/>
                <w:sz w:val="21"/>
                <w:szCs w:val="21"/>
                <w:highlight w:val="none"/>
                <w:lang w:val="en-US" w:eastAsia="zh-CN"/>
                <w14:textFill>
                  <w14:solidFill>
                    <w14:schemeClr w14:val="tx1"/>
                  </w14:solidFill>
                </w14:textFill>
              </w:rPr>
              <w:t>60</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/a</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槽液</w:t>
            </w:r>
            <w:r>
              <w:rPr>
                <w:rFonts w:hint="default" w:ascii="Times New Roman" w:hAnsi="Times New Roman" w:eastAsia="宋体" w:cs="Times New Roman"/>
                <w:color w:val="000000" w:themeColor="text1"/>
                <w:sz w:val="21"/>
                <w:szCs w:val="21"/>
                <w:highlight w:val="none"/>
                <w14:textFill>
                  <w14:solidFill>
                    <w14:schemeClr w14:val="tx1"/>
                  </w14:solidFill>
                </w14:textFill>
              </w:rPr>
              <w:t>更换频次为</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1个月1次</w:t>
            </w:r>
            <w:r>
              <w:rPr>
                <w:rFonts w:hint="default" w:ascii="Times New Roman" w:hAnsi="Times New Roman" w:eastAsia="宋体" w:cs="Times New Roman"/>
                <w:color w:val="000000" w:themeColor="text1"/>
                <w:sz w:val="21"/>
                <w:szCs w:val="21"/>
                <w:highlight w:val="none"/>
                <w14:textFill>
                  <w14:solidFill>
                    <w14:schemeClr w14:val="tx1"/>
                  </w14:solidFill>
                </w14:textFill>
              </w:rPr>
              <w:t>，年更换</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12</w:t>
            </w:r>
            <w:r>
              <w:rPr>
                <w:rFonts w:hint="default" w:ascii="Times New Roman" w:hAnsi="Times New Roman" w:eastAsia="宋体" w:cs="Times New Roman"/>
                <w:color w:val="000000" w:themeColor="text1"/>
                <w:sz w:val="21"/>
                <w:szCs w:val="21"/>
                <w:highlight w:val="none"/>
                <w14:textFill>
                  <w14:solidFill>
                    <w14:schemeClr w14:val="tx1"/>
                  </w14:solidFill>
                </w14:textFill>
              </w:rPr>
              <w:t>次，</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年更换用水量为</w:t>
            </w:r>
            <w:r>
              <w:rPr>
                <w:rFonts w:hint="eastAsia" w:eastAsia="宋体" w:cs="Times New Roman"/>
                <w:color w:val="000000" w:themeColor="text1"/>
                <w:sz w:val="21"/>
                <w:szCs w:val="21"/>
                <w:highlight w:val="none"/>
                <w:lang w:val="en-US" w:eastAsia="zh-CN"/>
                <w14:textFill>
                  <w14:solidFill>
                    <w14:schemeClr w14:val="tx1"/>
                  </w14:solidFill>
                </w14:textFill>
              </w:rPr>
              <w:t>28.8</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。则年用水量为</w:t>
            </w:r>
            <w:r>
              <w:rPr>
                <w:rFonts w:hint="eastAsia" w:eastAsia="宋体" w:cs="Times New Roman"/>
                <w:color w:val="000000" w:themeColor="text1"/>
                <w:sz w:val="21"/>
                <w:szCs w:val="21"/>
                <w:highlight w:val="none"/>
                <w:vertAlign w:val="baseline"/>
                <w:lang w:val="en-US" w:eastAsia="zh-CN"/>
                <w14:textFill>
                  <w14:solidFill>
                    <w14:schemeClr w14:val="tx1"/>
                  </w14:solidFill>
                </w14:textFill>
              </w:rPr>
              <w:t>88.8</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highlight w:val="none"/>
                <w:vertAlign w:val="baseli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日平均用水量为0.</w:t>
            </w:r>
            <w:r>
              <w:rPr>
                <w:rFonts w:hint="eastAsia" w:eastAsia="宋体" w:cs="Times New Roman"/>
                <w:color w:val="000000" w:themeColor="text1"/>
                <w:sz w:val="21"/>
                <w:szCs w:val="21"/>
                <w:highlight w:val="none"/>
                <w:vertAlign w:val="baseline"/>
                <w:lang w:val="en-US" w:eastAsia="zh-CN"/>
                <w14:textFill>
                  <w14:solidFill>
                    <w14:schemeClr w14:val="tx1"/>
                  </w14:solidFill>
                </w14:textFill>
              </w:rPr>
              <w:t>3552</w:t>
            </w:r>
            <w:r>
              <w:rPr>
                <w:rFonts w:hint="default" w:ascii="Times New Roman" w:hAnsi="Times New Roman" w:eastAsia="宋体" w:cs="Times New Roman"/>
                <w:color w:val="000000" w:themeColor="text1"/>
                <w:sz w:val="21"/>
                <w:szCs w:val="21"/>
                <w:highlight w:val="none"/>
                <w14:textFill>
                  <w14:solidFill>
                    <w14:schemeClr w14:val="tx1"/>
                  </w14:solidFill>
                </w14:textFill>
              </w:rPr>
              <w:t>m</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3</w:t>
            </w:r>
          </w:p>
        </w:tc>
        <w:tc>
          <w:tcPr>
            <w:tcW w:w="703" w:type="pct"/>
            <w:vAlign w:val="center"/>
          </w:tcPr>
          <w:p w14:paraId="77F19FC9">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eastAsia="宋体" w:cs="Times New Roman"/>
                <w:b w:val="0"/>
                <w:bCs/>
                <w:color w:val="000000" w:themeColor="text1"/>
                <w:sz w:val="21"/>
                <w:szCs w:val="21"/>
                <w:highlight w:val="none"/>
                <w:lang w:val="en-US" w:eastAsia="zh-CN"/>
                <w14:textFill>
                  <w14:solidFill>
                    <w14:schemeClr w14:val="tx1"/>
                  </w14:solidFill>
                </w14:textFill>
              </w:rPr>
              <w:t>0.3552</w:t>
            </w:r>
          </w:p>
        </w:tc>
        <w:tc>
          <w:tcPr>
            <w:tcW w:w="636" w:type="pct"/>
            <w:vAlign w:val="center"/>
          </w:tcPr>
          <w:p w14:paraId="42DB0BE2">
            <w:pPr>
              <w:pStyle w:val="76"/>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eastAsia="宋体" w:cs="Times New Roman"/>
                <w:b w:val="0"/>
                <w:bCs/>
                <w:color w:val="000000" w:themeColor="text1"/>
                <w:sz w:val="21"/>
                <w:szCs w:val="21"/>
                <w:highlight w:val="none"/>
                <w:lang w:val="en-US" w:eastAsia="zh-CN"/>
                <w14:textFill>
                  <w14:solidFill>
                    <w14:schemeClr w14:val="tx1"/>
                  </w14:solidFill>
                </w14:textFill>
              </w:rPr>
              <w:t>88.8</w:t>
            </w:r>
          </w:p>
        </w:tc>
      </w:tr>
      <w:tr w14:paraId="6CC91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778" w:type="pct"/>
            <w:gridSpan w:val="2"/>
            <w:vAlign w:val="center"/>
          </w:tcPr>
          <w:p w14:paraId="7C1DC82F">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汇总</w:t>
            </w:r>
          </w:p>
        </w:tc>
        <w:tc>
          <w:tcPr>
            <w:tcW w:w="2881" w:type="pct"/>
            <w:vAlign w:val="center"/>
          </w:tcPr>
          <w:p w14:paraId="0C46FE10">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w:t>
            </w:r>
          </w:p>
        </w:tc>
        <w:tc>
          <w:tcPr>
            <w:tcW w:w="703" w:type="pct"/>
            <w:vAlign w:val="center"/>
          </w:tcPr>
          <w:p w14:paraId="13BB3C97">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eastAsia="宋体" w:cs="Times New Roman"/>
                <w:b w:val="0"/>
                <w:bCs/>
                <w:color w:val="000000" w:themeColor="text1"/>
                <w:sz w:val="21"/>
                <w:szCs w:val="21"/>
                <w:highlight w:val="none"/>
                <w:lang w:val="en-US" w:eastAsia="zh-CN"/>
                <w14:textFill>
                  <w14:solidFill>
                    <w14:schemeClr w14:val="tx1"/>
                  </w14:solidFill>
                </w14:textFill>
              </w:rPr>
              <w:t>2.2176</w:t>
            </w:r>
          </w:p>
        </w:tc>
        <w:tc>
          <w:tcPr>
            <w:tcW w:w="636" w:type="pct"/>
            <w:vAlign w:val="center"/>
          </w:tcPr>
          <w:p w14:paraId="4B73258F">
            <w:pPr>
              <w:pStyle w:val="76"/>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eastAsia="宋体" w:cs="Times New Roman"/>
                <w:b w:val="0"/>
                <w:bCs/>
                <w:color w:val="000000" w:themeColor="text1"/>
                <w:sz w:val="21"/>
                <w:szCs w:val="21"/>
                <w:highlight w:val="none"/>
                <w:lang w:val="en-US" w:eastAsia="zh-CN"/>
                <w14:textFill>
                  <w14:solidFill>
                    <w14:schemeClr w14:val="tx1"/>
                  </w14:solidFill>
                </w14:textFill>
              </w:rPr>
              <w:t>554.4</w:t>
            </w:r>
          </w:p>
        </w:tc>
      </w:tr>
    </w:tbl>
    <w:p w14:paraId="3C6BBDAF">
      <w:pPr>
        <w:spacing w:line="360" w:lineRule="auto"/>
        <w:ind w:firstLine="480" w:firstLineChars="200"/>
        <w:jc w:val="both"/>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由上表可知生产线用水（纯水）量为</w:t>
      </w:r>
      <w:r>
        <w:rPr>
          <w:rFonts w:hint="eastAsia" w:ascii="Times New Roman" w:hAnsi="Times New Roman" w:cs="Times New Roman"/>
          <w:color w:val="000000" w:themeColor="text1"/>
          <w:kern w:val="0"/>
          <w:sz w:val="24"/>
          <w:szCs w:val="20"/>
          <w:highlight w:val="none"/>
          <w:lang w:val="en-US" w:eastAsia="zh-CN"/>
          <w14:textFill>
            <w14:solidFill>
              <w14:schemeClr w14:val="tx1"/>
            </w14:solidFill>
          </w14:textFill>
        </w:rPr>
        <w:t>2.2176m</w:t>
      </w:r>
      <w:r>
        <w:rPr>
          <w:rFonts w:hint="eastAsia" w:ascii="Times New Roman" w:hAnsi="Times New Roman" w:cs="Times New Roman"/>
          <w:color w:val="000000" w:themeColor="text1"/>
          <w:kern w:val="0"/>
          <w:sz w:val="24"/>
          <w:szCs w:val="20"/>
          <w:highlight w:val="none"/>
          <w:vertAlign w:val="superscript"/>
          <w:lang w:val="en-US" w:eastAsia="zh-CN"/>
          <w14:textFill>
            <w14:solidFill>
              <w14:schemeClr w14:val="tx1"/>
            </w14:solidFill>
          </w14:textFill>
        </w:rPr>
        <w:t>3</w:t>
      </w:r>
      <w:r>
        <w:rPr>
          <w:rFonts w:hint="eastAsia" w:ascii="Times New Roman" w:hAnsi="Times New Roman" w:cs="Times New Roman"/>
          <w:color w:val="000000" w:themeColor="text1"/>
          <w:kern w:val="0"/>
          <w:sz w:val="24"/>
          <w:szCs w:val="20"/>
          <w:highlight w:val="none"/>
          <w:lang w:val="en-US" w:eastAsia="zh-CN"/>
          <w14:textFill>
            <w14:solidFill>
              <w14:schemeClr w14:val="tx1"/>
            </w14:solidFill>
          </w14:textFill>
        </w:rPr>
        <w:t>/d，</w:t>
      </w:r>
      <w:r>
        <w:rPr>
          <w:rFonts w:hint="eastAsia"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554.4m</w:t>
      </w:r>
      <w:r>
        <w:rPr>
          <w:rFonts w:hint="eastAsia" w:ascii="Times New Roman" w:hAnsi="Times New Roman" w:eastAsia="宋体" w:cs="Times New Roman"/>
          <w:color w:val="000000" w:themeColor="text1"/>
          <w:kern w:val="0"/>
          <w:sz w:val="24"/>
          <w:szCs w:val="20"/>
          <w:highlight w:val="none"/>
          <w:vertAlign w:val="superscript"/>
          <w:lang w:val="en-US" w:eastAsia="zh-CN"/>
          <w14:textFill>
            <w14:solidFill>
              <w14:schemeClr w14:val="tx1"/>
            </w14:solidFill>
          </w14:textFill>
        </w:rPr>
        <w:t>3</w:t>
      </w:r>
      <w:r>
        <w:rPr>
          <w:rFonts w:hint="eastAsia"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/a，上述各槽的排水及碱液喷淋塔废水经自建污水处理设施处理后可直接回用于生产线补充水，回用</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量为</w:t>
      </w:r>
      <w:r>
        <w:rPr>
          <w:rFonts w:hint="eastAsia"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0.6956</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m</w:t>
      </w:r>
      <w:r>
        <w:rPr>
          <w:rFonts w:hint="default" w:ascii="Times New Roman" w:hAnsi="Times New Roman" w:eastAsia="宋体" w:cs="Times New Roman"/>
          <w:color w:val="000000" w:themeColor="text1"/>
          <w:kern w:val="0"/>
          <w:sz w:val="24"/>
          <w:szCs w:val="20"/>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/d，</w:t>
      </w:r>
      <w:r>
        <w:rPr>
          <w:rFonts w:hint="eastAsia"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173.9</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m</w:t>
      </w:r>
      <w:r>
        <w:rPr>
          <w:rFonts w:hint="default" w:ascii="Times New Roman" w:hAnsi="Times New Roman" w:eastAsia="宋体" w:cs="Times New Roman"/>
          <w:color w:val="000000" w:themeColor="text1"/>
          <w:kern w:val="0"/>
          <w:sz w:val="24"/>
          <w:szCs w:val="20"/>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/a，则本项目纯水新鲜水用量为</w:t>
      </w:r>
      <w:r>
        <w:rPr>
          <w:rFonts w:hint="eastAsia"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1.522</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m</w:t>
      </w:r>
      <w:r>
        <w:rPr>
          <w:rFonts w:hint="default" w:ascii="Times New Roman" w:hAnsi="Times New Roman" w:eastAsia="宋体" w:cs="Times New Roman"/>
          <w:color w:val="000000" w:themeColor="text1"/>
          <w:kern w:val="0"/>
          <w:sz w:val="24"/>
          <w:szCs w:val="20"/>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/d，</w:t>
      </w:r>
      <w:r>
        <w:rPr>
          <w:rFonts w:hint="eastAsia"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380.5</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m</w:t>
      </w:r>
      <w:r>
        <w:rPr>
          <w:rFonts w:hint="default" w:ascii="Times New Roman" w:hAnsi="Times New Roman" w:eastAsia="宋体" w:cs="Times New Roman"/>
          <w:color w:val="000000" w:themeColor="text1"/>
          <w:kern w:val="0"/>
          <w:sz w:val="24"/>
          <w:szCs w:val="20"/>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/a，项目设置一套纯水制备设备，</w:t>
      </w:r>
      <w:r>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制备能力为0.5t/h，根据设计资料制备效率约为80%，则本项目生产线新鲜水使用量为</w:t>
      </w:r>
      <w:r>
        <w:rPr>
          <w:rFonts w:hint="eastAsia"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1.9025</w:t>
      </w:r>
      <w:r>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2"/>
          <w:sz w:val="24"/>
          <w:szCs w:val="22"/>
          <w:highlight w:val="none"/>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/d，</w:t>
      </w:r>
      <w:r>
        <w:rPr>
          <w:rFonts w:hint="eastAsia"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475.625</w:t>
      </w:r>
      <w:r>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2"/>
          <w:sz w:val="24"/>
          <w:szCs w:val="22"/>
          <w:highlight w:val="none"/>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/a。</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纯水制备尾水产生量为</w:t>
      </w:r>
      <w:r>
        <w:rPr>
          <w:rFonts w:hint="eastAsia"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0.3805</w:t>
      </w:r>
      <w:r>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2"/>
          <w:sz w:val="24"/>
          <w:szCs w:val="22"/>
          <w:highlight w:val="none"/>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/d，</w:t>
      </w:r>
      <w:r>
        <w:rPr>
          <w:rFonts w:hint="eastAsia"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95.125</w:t>
      </w:r>
      <w:r>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2"/>
          <w:sz w:val="24"/>
          <w:szCs w:val="22"/>
          <w:highlight w:val="none"/>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/a。</w:t>
      </w:r>
    </w:p>
    <w:p w14:paraId="7E36304A">
      <w:pPr>
        <w:spacing w:line="360" w:lineRule="auto"/>
        <w:ind w:firstLine="480" w:firstLineChars="200"/>
        <w:jc w:val="both"/>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④碱液喷淋塔用水：项目设有1座流量为500L/h碱液喷淋塔，工作时长为8h/d，循环水量为4m</w:t>
      </w:r>
      <w:r>
        <w:rPr>
          <w:rFonts w:hint="default" w:ascii="Times New Roman" w:hAnsi="Times New Roman" w:eastAsia="宋体" w:cs="Times New Roman"/>
          <w:color w:val="000000" w:themeColor="text1"/>
          <w:kern w:val="0"/>
          <w:sz w:val="24"/>
          <w:szCs w:val="20"/>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/d，损耗水量按5%进行计算，平均每天补水0.2m</w:t>
      </w:r>
      <w:r>
        <w:rPr>
          <w:rFonts w:hint="default" w:ascii="Times New Roman" w:hAnsi="Times New Roman" w:eastAsia="宋体" w:cs="Times New Roman"/>
          <w:color w:val="000000" w:themeColor="text1"/>
          <w:kern w:val="0"/>
          <w:sz w:val="24"/>
          <w:szCs w:val="20"/>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/d，年补充水量为50m</w:t>
      </w:r>
      <w:r>
        <w:rPr>
          <w:rFonts w:hint="default" w:ascii="Times New Roman" w:hAnsi="Times New Roman" w:eastAsia="宋体" w:cs="Times New Roman"/>
          <w:color w:val="000000" w:themeColor="text1"/>
          <w:kern w:val="0"/>
          <w:sz w:val="24"/>
          <w:szCs w:val="20"/>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项目碱液喷淋塔补充水均来自纯水制备尾水，由上述计算可知纯水制备尾水能够满足碱液喷淋塔补充水的需求量。喷淋塔内为10%浓度氢氧化钠液体，根据硫酸雾产生及处理情况可知碱液喷淋塔年废水排放量为0.0044m</w:t>
      </w:r>
      <w:r>
        <w:rPr>
          <w:rFonts w:hint="default" w:ascii="Times New Roman" w:hAnsi="Times New Roman" w:eastAsia="宋体" w:cs="Times New Roman"/>
          <w:color w:val="000000" w:themeColor="text1"/>
          <w:kern w:val="0"/>
          <w:sz w:val="24"/>
          <w:szCs w:val="20"/>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/d，1.1m</w:t>
      </w:r>
      <w:r>
        <w:rPr>
          <w:rFonts w:hint="default" w:ascii="Times New Roman" w:hAnsi="Times New Roman" w:eastAsia="宋体" w:cs="Times New Roman"/>
          <w:color w:val="000000" w:themeColor="text1"/>
          <w:kern w:val="0"/>
          <w:sz w:val="24"/>
          <w:szCs w:val="20"/>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/a。</w:t>
      </w:r>
    </w:p>
    <w:p w14:paraId="504F0511">
      <w:pPr>
        <w:widowControl w:val="0"/>
        <w:numPr>
          <w:ilvl w:val="0"/>
          <w:numId w:val="2"/>
        </w:numPr>
        <w:spacing w:line="360" w:lineRule="auto"/>
        <w:ind w:firstLine="480" w:firstLineChars="200"/>
        <w:jc w:val="both"/>
        <w:rPr>
          <w:rFonts w:hint="default" w:ascii="Times New Roman" w:hAnsi="Times New Roman" w:eastAsia="宋体" w:cs="Times New Roman"/>
          <w:bCs/>
          <w:color w:val="000000" w:themeColor="text1"/>
          <w:sz w:val="24"/>
          <w:highlight w:val="none"/>
          <w14:textFill>
            <w14:solidFill>
              <w14:schemeClr w14:val="tx1"/>
            </w14:solidFill>
          </w14:textFill>
        </w:rPr>
      </w:pPr>
      <w:r>
        <w:rPr>
          <w:rFonts w:hint="default" w:ascii="Times New Roman" w:hAnsi="Times New Roman" w:eastAsia="宋体" w:cs="Times New Roman"/>
          <w:bCs/>
          <w:snapToGrid w:val="0"/>
          <w:color w:val="000000" w:themeColor="text1"/>
          <w:kern w:val="0"/>
          <w:sz w:val="24"/>
          <w:szCs w:val="24"/>
          <w:highlight w:val="none"/>
          <w14:textFill>
            <w14:solidFill>
              <w14:schemeClr w14:val="tx1"/>
            </w14:solidFill>
          </w14:textFill>
        </w:rPr>
        <w:t>排水：</w:t>
      </w:r>
      <w:r>
        <w:rPr>
          <w:rFonts w:hint="default" w:ascii="Times New Roman" w:hAnsi="Times New Roman" w:eastAsia="宋体" w:cs="Times New Roman"/>
          <w:color w:val="000000" w:themeColor="text1"/>
          <w:sz w:val="24"/>
          <w:szCs w:val="20"/>
          <w:highlight w:val="none"/>
          <w14:textFill>
            <w14:solidFill>
              <w14:schemeClr w14:val="tx1"/>
            </w14:solidFill>
          </w14:textFill>
        </w:rPr>
        <w:t>项目</w:t>
      </w:r>
      <w:r>
        <w:rPr>
          <w:rFonts w:hint="default" w:ascii="Times New Roman" w:hAnsi="Times New Roman" w:eastAsia="宋体" w:cs="Times New Roman"/>
          <w:color w:val="000000" w:themeColor="text1"/>
          <w:sz w:val="24"/>
          <w:szCs w:val="20"/>
          <w:highlight w:val="none"/>
          <w:lang w:val="en-US" w:eastAsia="zh-CN"/>
          <w14:textFill>
            <w14:solidFill>
              <w14:schemeClr w14:val="tx1"/>
            </w14:solidFill>
          </w14:textFill>
        </w:rPr>
        <w:t>喷淋塔排水、纯水制备尾水、废</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脱脂槽液、清洗废水、废阳极氧化槽液</w:t>
      </w:r>
      <w:r>
        <w:rPr>
          <w:rFonts w:hint="default" w:ascii="Times New Roman" w:hAnsi="Times New Roman" w:eastAsia="宋体" w:cs="Times New Roman"/>
          <w:color w:val="000000" w:themeColor="text1"/>
          <w:kern w:val="0"/>
          <w:sz w:val="24"/>
          <w:szCs w:val="20"/>
          <w:highlight w:val="none"/>
          <w14:textFill>
            <w14:solidFill>
              <w14:schemeClr w14:val="tx1"/>
            </w14:solidFill>
          </w14:textFill>
        </w:rPr>
        <w:t>、</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废封闭槽液、阳极氧化车间保洁废水</w:t>
      </w:r>
      <w:r>
        <w:rPr>
          <w:rFonts w:hint="default" w:ascii="Times New Roman" w:hAnsi="Times New Roman" w:eastAsia="宋体" w:cs="Times New Roman"/>
          <w:color w:val="000000" w:themeColor="text1"/>
          <w:kern w:val="0"/>
          <w:sz w:val="24"/>
          <w:szCs w:val="20"/>
          <w:highlight w:val="none"/>
          <w14:textFill>
            <w14:solidFill>
              <w14:schemeClr w14:val="tx1"/>
            </w14:solidFill>
          </w14:textFill>
        </w:rPr>
        <w:t>经厂区</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自建</w:t>
      </w:r>
      <w:r>
        <w:rPr>
          <w:rFonts w:hint="default" w:ascii="Times New Roman" w:hAnsi="Times New Roman" w:eastAsia="宋体" w:cs="Times New Roman"/>
          <w:color w:val="000000" w:themeColor="text1"/>
          <w:kern w:val="0"/>
          <w:sz w:val="24"/>
          <w:szCs w:val="20"/>
          <w:highlight w:val="none"/>
          <w14:textFill>
            <w14:solidFill>
              <w14:schemeClr w14:val="tx1"/>
            </w14:solidFill>
          </w14:textFill>
        </w:rPr>
        <w:t>污水处理站处理后回用于</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阳极氧化</w:t>
      </w:r>
      <w:r>
        <w:rPr>
          <w:rFonts w:hint="default" w:ascii="Times New Roman" w:hAnsi="Times New Roman" w:eastAsia="宋体" w:cs="Times New Roman"/>
          <w:color w:val="000000" w:themeColor="text1"/>
          <w:kern w:val="0"/>
          <w:sz w:val="24"/>
          <w:szCs w:val="20"/>
          <w:highlight w:val="none"/>
          <w14:textFill>
            <w14:solidFill>
              <w14:schemeClr w14:val="tx1"/>
            </w14:solidFill>
          </w14:textFill>
        </w:rPr>
        <w:t>生产</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线循环使用</w:t>
      </w:r>
      <w:r>
        <w:rPr>
          <w:rFonts w:hint="default" w:ascii="Times New Roman" w:hAnsi="Times New Roman" w:eastAsia="宋体" w:cs="Times New Roman"/>
          <w:color w:val="000000" w:themeColor="text1"/>
          <w:kern w:val="0"/>
          <w:sz w:val="24"/>
          <w:szCs w:val="20"/>
          <w:highlight w:val="none"/>
          <w14:textFill>
            <w14:solidFill>
              <w14:schemeClr w14:val="tx1"/>
            </w14:solidFill>
          </w14:textFill>
        </w:rPr>
        <w:t>，</w:t>
      </w:r>
      <w:r>
        <w:rPr>
          <w:rFonts w:hint="default" w:ascii="Times New Roman" w:hAnsi="Times New Roman" w:eastAsia="宋体" w:cs="Times New Roman"/>
          <w:color w:val="000000" w:themeColor="text1"/>
          <w:kern w:val="0"/>
          <w:sz w:val="24"/>
          <w:szCs w:val="20"/>
          <w:highlight w:val="none"/>
          <w:lang w:val="en-US" w:eastAsia="zh-CN"/>
          <w14:textFill>
            <w14:solidFill>
              <w14:schemeClr w14:val="tx1"/>
            </w14:solidFill>
          </w14:textFill>
        </w:rPr>
        <w:t>污水处理设施产生的浓排水桶装收集作为危废进行处理</w:t>
      </w:r>
      <w:r>
        <w:rPr>
          <w:rFonts w:hint="default" w:ascii="Times New Roman" w:hAnsi="Times New Roman" w:eastAsia="宋体" w:cs="Times New Roman"/>
          <w:color w:val="000000" w:themeColor="text1"/>
          <w:sz w:val="24"/>
          <w:szCs w:val="20"/>
          <w:highlight w:val="none"/>
          <w14:textFill>
            <w14:solidFill>
              <w14:schemeClr w14:val="tx1"/>
            </w14:solidFill>
          </w14:textFill>
        </w:rPr>
        <w:t>；</w:t>
      </w:r>
      <w:r>
        <w:rPr>
          <w:rFonts w:hint="default" w:ascii="Times New Roman" w:hAnsi="Times New Roman" w:eastAsia="宋体" w:cs="Times New Roman"/>
          <w:color w:val="000000" w:themeColor="text1"/>
          <w:sz w:val="24"/>
          <w:highlight w:val="none"/>
          <w14:textFill>
            <w14:solidFill>
              <w14:schemeClr w14:val="tx1"/>
            </w14:solidFill>
          </w14:textFill>
        </w:rPr>
        <w:t>生活污水主要为职工盥洗、冲厕废水，</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生活污水经化粪池预处理，通过市政管网进入鸦鸿桥镇污水处理厂处理</w:t>
      </w:r>
      <w:r>
        <w:rPr>
          <w:rFonts w:hint="default" w:ascii="Times New Roman" w:hAnsi="Times New Roman" w:eastAsia="宋体" w:cs="Times New Roman"/>
          <w:bCs/>
          <w:color w:val="000000" w:themeColor="text1"/>
          <w:sz w:val="24"/>
          <w:highlight w:val="none"/>
          <w14:textFill>
            <w14:solidFill>
              <w14:schemeClr w14:val="tx1"/>
            </w14:solidFill>
          </w14:textFill>
        </w:rPr>
        <w:t>。</w:t>
      </w:r>
    </w:p>
    <w:p w14:paraId="6C86F5F0">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cs="Times New Roman"/>
          <w:b/>
          <w:color w:val="000000" w:themeColor="text1"/>
          <w:sz w:val="21"/>
          <w:szCs w:val="21"/>
          <w:highlight w:val="none"/>
          <w14:textFill>
            <w14:solidFill>
              <w14:schemeClr w14:val="tx1"/>
            </w14:solidFill>
          </w14:textFill>
        </w:rPr>
      </w:pPr>
      <w:r>
        <w:rPr>
          <w:rFonts w:hint="default" w:ascii="Times New Roman" w:hAnsi="Times New Roman" w:cs="Times New Roman"/>
          <w:b/>
          <w:color w:val="000000" w:themeColor="text1"/>
          <w:sz w:val="21"/>
          <w:szCs w:val="21"/>
          <w:highlight w:val="none"/>
          <w14:textFill>
            <w14:solidFill>
              <w14:schemeClr w14:val="tx1"/>
            </w14:solidFill>
          </w14:textFill>
        </w:rPr>
        <w:object>
          <v:shape id="_x0000_i1026" o:spt="75" type="#_x0000_t75" style="height:353.25pt;width:415.35pt;" o:ole="t" filled="f" o:preferrelative="t" stroked="f" coordsize="21600,21600">
            <v:path/>
            <v:fill on="f" focussize="0,0"/>
            <v:stroke on="f"/>
            <v:imagedata r:id="rId9" croptop="2735f" cropbottom="8065f" o:title=""/>
            <o:lock v:ext="edit" aspectratio="f"/>
            <w10:wrap type="none"/>
            <w10:anchorlock/>
          </v:shape>
          <o:OLEObject Type="Embed" ProgID="Visio.Drawing.15" ShapeID="_x0000_i1026" DrawAspect="Content" ObjectID="_1468075726" r:id="rId8">
            <o:LockedField>false</o:LockedField>
          </o:OLEObject>
        </w:object>
      </w:r>
    </w:p>
    <w:p w14:paraId="17F8048B">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图3-2 本项目实际给排水平衡图  m</w:t>
      </w:r>
      <w:r>
        <w:rPr>
          <w:rFonts w:hint="eastAsia" w:ascii="Times New Roman" w:hAnsi="Times New Roman" w:eastAsia="宋体" w:cs="Times New Roman"/>
          <w:b/>
          <w:color w:val="auto"/>
          <w:sz w:val="24"/>
          <w:szCs w:val="24"/>
          <w:highlight w:val="none"/>
          <w:vertAlign w:val="superscript"/>
          <w:lang w:val="en-US" w:eastAsia="zh-CN"/>
        </w:rPr>
        <w:t>3</w:t>
      </w:r>
      <w:r>
        <w:rPr>
          <w:rFonts w:hint="eastAsia" w:ascii="Times New Roman" w:hAnsi="Times New Roman" w:eastAsia="宋体" w:cs="Times New Roman"/>
          <w:b/>
          <w:color w:val="auto"/>
          <w:sz w:val="24"/>
          <w:szCs w:val="24"/>
          <w:highlight w:val="none"/>
          <w:lang w:val="en-US" w:eastAsia="zh-CN"/>
        </w:rPr>
        <w:t>/d</w:t>
      </w:r>
    </w:p>
    <w:p w14:paraId="1CA6C3D1">
      <w:pPr>
        <w:pStyle w:val="5"/>
        <w:keepNext/>
        <w:keepLines/>
        <w:pageBreakBefore w:val="0"/>
        <w:widowControl w:val="0"/>
        <w:kinsoku/>
        <w:wordWrap/>
        <w:overflowPunct/>
        <w:topLinePunct w:val="0"/>
        <w:autoSpaceDE/>
        <w:autoSpaceDN/>
        <w:bidi w:val="0"/>
        <w:adjustRightInd w:val="0"/>
        <w:snapToGrid w:val="0"/>
        <w:spacing w:before="0" w:after="0" w:line="480" w:lineRule="exact"/>
        <w:textAlignment w:val="auto"/>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3.5生产工艺</w:t>
      </w:r>
      <w:bookmarkEnd w:id="12"/>
    </w:p>
    <w:p w14:paraId="6E842B7D">
      <w:pPr>
        <w:spacing w:line="360" w:lineRule="auto"/>
        <w:ind w:firstLine="482" w:firstLineChars="200"/>
        <w:rPr>
          <w:rFonts w:hint="default" w:ascii="Times New Roman" w:hAnsi="Times New Roman" w:eastAsia="宋体" w:cs="Times New Roman"/>
          <w:b/>
          <w:bCs/>
          <w:color w:val="000000" w:themeColor="text1"/>
          <w:sz w:val="24"/>
          <w:szCs w:val="24"/>
          <w:highlight w:val="none"/>
          <w:lang w:val="en-US"/>
          <w14:textFill>
            <w14:solidFill>
              <w14:schemeClr w14:val="tx1"/>
            </w14:solidFill>
          </w14:textFill>
        </w:rPr>
      </w:pPr>
      <w:bookmarkStart w:id="13" w:name="_Toc15535"/>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羊肉机制作生产工艺：</w:t>
      </w:r>
    </w:p>
    <w:p w14:paraId="7AE21C2A">
      <w:pPr>
        <w:spacing w:line="360" w:lineRule="auto"/>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本工程</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以外购半成品羊肉片机零部件（包括铝件及铁件）</w:t>
      </w:r>
      <w:r>
        <w:rPr>
          <w:rFonts w:hint="default" w:ascii="Times New Roman" w:hAnsi="Times New Roman" w:eastAsia="宋体" w:cs="Times New Roman"/>
          <w:color w:val="000000" w:themeColor="text1"/>
          <w:sz w:val="24"/>
          <w:szCs w:val="24"/>
          <w:highlight w:val="none"/>
          <w14:textFill>
            <w14:solidFill>
              <w14:schemeClr w14:val="tx1"/>
            </w14:solidFill>
          </w14:textFill>
        </w:rPr>
        <w:t>为原料，</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车辆运进，存放于原材料仓库中</w:t>
      </w:r>
      <w:r>
        <w:rPr>
          <w:rFonts w:hint="default" w:ascii="Times New Roman" w:hAnsi="Times New Roman" w:eastAsia="宋体" w:cs="Times New Roman"/>
          <w:color w:val="000000" w:themeColor="text1"/>
          <w:sz w:val="24"/>
          <w:szCs w:val="24"/>
          <w:highlight w:val="none"/>
          <w14:textFill>
            <w14:solidFill>
              <w14:schemeClr w14:val="tx1"/>
            </w14:solidFill>
          </w14:textFill>
        </w:rPr>
        <w:t>，主要</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生产</w:t>
      </w:r>
      <w:r>
        <w:rPr>
          <w:rFonts w:hint="default" w:ascii="Times New Roman" w:hAnsi="Times New Roman" w:eastAsia="宋体" w:cs="Times New Roman"/>
          <w:color w:val="000000" w:themeColor="text1"/>
          <w:sz w:val="24"/>
          <w:szCs w:val="24"/>
          <w:highlight w:val="none"/>
          <w14:textFill>
            <w14:solidFill>
              <w14:schemeClr w14:val="tx1"/>
            </w14:solidFill>
          </w14:textFill>
        </w:rPr>
        <w:t>工艺为</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切割、抛光、脱脂、水洗、阳极氧化、水洗、冲洗、封闭、水洗、晾干、组装</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r>
        <w:rPr>
          <w:rFonts w:hint="default" w:ascii="Times New Roman" w:hAnsi="Times New Roman" w:eastAsia="宋体" w:cs="Times New Roman"/>
          <w:color w:val="000000" w:themeColor="text1"/>
          <w:kern w:val="0"/>
          <w:sz w:val="24"/>
          <w:szCs w:val="24"/>
          <w:highlight w:val="none"/>
          <w:lang w:val="en-US" w:eastAsia="zh-CN"/>
          <w14:textFill>
            <w14:solidFill>
              <w14:schemeClr w14:val="tx1"/>
            </w14:solidFill>
          </w14:textFill>
        </w:rPr>
        <w:t>本项目仅对铝件进行阳极氧化，原辅材料中不包含任何重金属成分。</w:t>
      </w:r>
    </w:p>
    <w:p w14:paraId="12B645A7">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80" w:firstLineChars="200"/>
        <w:textAlignment w:val="baseline"/>
        <w:rPr>
          <w:rFonts w:hint="default" w:ascii="Times New Roman" w:hAnsi="Times New Roman" w:eastAsia="宋体" w:cs="Times New Roman"/>
          <w:color w:val="000000" w:themeColor="text1"/>
          <w:sz w:val="24"/>
          <w:szCs w:val="22"/>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2"/>
          <w:highlight w:val="none"/>
          <w:lang w:val="en-US" w:eastAsia="zh-CN"/>
          <w14:textFill>
            <w14:solidFill>
              <w14:schemeClr w14:val="tx1"/>
            </w14:solidFill>
          </w14:textFill>
        </w:rPr>
        <w:t>切割：本项目设置一台电动带锯切割机，仅原材料中的机壳需要进行边角切割，目的是为保障后期组装可行性。切割过程产生的火星均为较大粒径的金属屑，在带锯切割机切割部位四周设置围挡，防止金属屑四溅，定期对产生的金属屑收集。</w:t>
      </w:r>
    </w:p>
    <w:p w14:paraId="33A58558">
      <w:pPr>
        <w:spacing w:line="360" w:lineRule="auto"/>
        <w:ind w:firstLine="482" w:firstLineChars="200"/>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本工段的产污环节主要为：</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切割废边角料</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（S1）</w:t>
      </w:r>
      <w:r>
        <w:rPr>
          <w:rFonts w:hint="default" w:ascii="Times New Roman" w:hAnsi="Times New Roman" w:eastAsia="宋体" w:cs="Times New Roman"/>
          <w:b/>
          <w:bCs/>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切割</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废</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金属屑</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（S2）、以及机械设备噪声（N）。</w:t>
      </w:r>
    </w:p>
    <w:p w14:paraId="5C0EE9D9">
      <w:pPr>
        <w:spacing w:line="360" w:lineRule="auto"/>
        <w:ind w:firstLine="480" w:firstLineChars="200"/>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2、抛光：外购的金属件需人工使用抛光机进行抛光，抛光过程需在零部件表面蹭涂抛光蜡来增加抛光砂轮与零部件的摩擦力，使零部件表面更加光泽明亮。铝件进行之后的阳极氧化工艺，铁架直接进入组装工艺。</w:t>
      </w:r>
    </w:p>
    <w:p w14:paraId="39B5A08D">
      <w:pPr>
        <w:spacing w:line="360" w:lineRule="auto"/>
        <w:ind w:firstLine="482"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本工段的产污环节主要</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为：抛光工序</w:t>
      </w:r>
      <w:r>
        <w:rPr>
          <w:rFonts w:hint="default" w:ascii="Times New Roman" w:hAnsi="Times New Roman" w:eastAsia="宋体" w:cs="Times New Roman"/>
          <w:b/>
          <w:bCs/>
          <w:color w:val="auto"/>
          <w:sz w:val="24"/>
          <w:szCs w:val="24"/>
          <w:highlight w:val="none"/>
          <w:lang w:val="en-US" w:eastAsia="zh-CN"/>
        </w:rPr>
        <w:t>产生颗粒物（G1）</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、废抛光砂轮（S3）废原料包装（S4）、废润滑油（S5）、废润滑油桶（S6）、除尘灰（S7）、废布袋（S20）以及机械设备噪声（N）。</w:t>
      </w:r>
    </w:p>
    <w:p w14:paraId="749056F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baseline"/>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2"/>
          <w:highlight w:val="none"/>
          <w:lang w:val="en-US" w:eastAsia="zh-CN"/>
          <w14:textFill>
            <w14:solidFill>
              <w14:schemeClr w14:val="tx1"/>
            </w14:solidFill>
          </w14:textFill>
        </w:rPr>
        <w:t>3、脱脂：</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将抛光后的铝件通过可移动式吊架放入脱脂槽中，铝件与脱脂液浸泡接触，槽液电加热至25~40℃，以达到去除铝基板表面油迹的目的。脱脂液采用脱脂粉和纯水在脱脂槽中按照一定比例配置，配置成2~5%水溶液。脱脂工艺共设置脱脂槽1个，脱脂槽尺寸为长2.5m*宽1.0m*高1.5m（液深1.2m），浸泡时长为5min，槽液更换周期为3个月。</w:t>
      </w:r>
    </w:p>
    <w:p w14:paraId="5C5E0812">
      <w:pPr>
        <w:spacing w:line="360" w:lineRule="auto"/>
        <w:ind w:firstLine="482"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本工段的产污环节主要</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为：废脱脂槽液（W1）、槽内油泥</w:t>
      </w:r>
      <w:r>
        <w:rPr>
          <w:rFonts w:hint="default" w:ascii="Times New Roman" w:hAnsi="Times New Roman" w:eastAsia="宋体" w:cs="Times New Roman"/>
          <w:b/>
          <w:bCs/>
          <w:color w:val="auto"/>
          <w:sz w:val="24"/>
          <w:szCs w:val="24"/>
          <w:highlight w:val="none"/>
          <w:lang w:val="en-US" w:eastAsia="zh-CN"/>
        </w:rPr>
        <w:t>（S8）、废原料包装（S4）、化学品包装瓶/桶（S9）。</w:t>
      </w:r>
    </w:p>
    <w:p w14:paraId="5F0873C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baseline"/>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4、水洗①</w:t>
      </w:r>
      <w:r>
        <w:rPr>
          <w:rFonts w:hint="default" w:ascii="Times New Roman" w:hAnsi="Times New Roman" w:eastAsia="宋体" w:cs="Times New Roman"/>
          <w:color w:val="000000" w:themeColor="text1"/>
          <w:sz w:val="24"/>
          <w:highlight w:val="none"/>
          <w14:textFill>
            <w14:solidFill>
              <w14:schemeClr w14:val="tx1"/>
            </w14:solidFill>
          </w14:textFill>
        </w:rPr>
        <w:t>：</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脱脂后</w:t>
      </w:r>
      <w:r>
        <w:rPr>
          <w:rFonts w:hint="default" w:ascii="Times New Roman" w:hAnsi="Times New Roman" w:eastAsia="宋体" w:cs="Times New Roman"/>
          <w:color w:val="000000" w:themeColor="text1"/>
          <w:sz w:val="24"/>
          <w:highlight w:val="none"/>
          <w14:textFill>
            <w14:solidFill>
              <w14:schemeClr w14:val="tx1"/>
            </w14:solidFill>
          </w14:textFill>
        </w:rPr>
        <w:t>将铝</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件</w:t>
      </w:r>
      <w:r>
        <w:rPr>
          <w:rFonts w:hint="default" w:ascii="Times New Roman" w:hAnsi="Times New Roman" w:eastAsia="宋体" w:cs="Times New Roman"/>
          <w:color w:val="000000" w:themeColor="text1"/>
          <w:sz w:val="24"/>
          <w:highlight w:val="none"/>
          <w14:textFill>
            <w14:solidFill>
              <w14:schemeClr w14:val="tx1"/>
            </w14:solidFill>
          </w14:textFill>
        </w:rPr>
        <w:t>通过</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可移动式吊架</w:t>
      </w:r>
      <w:r>
        <w:rPr>
          <w:rFonts w:hint="default" w:ascii="Times New Roman" w:hAnsi="Times New Roman" w:eastAsia="宋体" w:cs="Times New Roman"/>
          <w:color w:val="000000" w:themeColor="text1"/>
          <w:sz w:val="24"/>
          <w:highlight w:val="none"/>
          <w14:textFill>
            <w14:solidFill>
              <w14:schemeClr w14:val="tx1"/>
            </w14:solidFill>
          </w14:textFill>
        </w:rPr>
        <w:t>放入纯水槽中进行</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2次</w:t>
      </w:r>
      <w:r>
        <w:rPr>
          <w:rFonts w:hint="default" w:ascii="Times New Roman" w:hAnsi="Times New Roman" w:eastAsia="宋体" w:cs="Times New Roman"/>
          <w:color w:val="000000" w:themeColor="text1"/>
          <w:sz w:val="24"/>
          <w:highlight w:val="none"/>
          <w14:textFill>
            <w14:solidFill>
              <w14:schemeClr w14:val="tx1"/>
            </w14:solidFill>
          </w14:textFill>
        </w:rPr>
        <w:t>浸泡清洗。</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脱脂后</w:t>
      </w:r>
      <w:r>
        <w:rPr>
          <w:rFonts w:hint="default" w:ascii="Times New Roman" w:hAnsi="Times New Roman" w:eastAsia="宋体" w:cs="Times New Roman"/>
          <w:color w:val="000000" w:themeColor="text1"/>
          <w:sz w:val="24"/>
          <w:highlight w:val="none"/>
          <w14:textFill>
            <w14:solidFill>
              <w14:schemeClr w14:val="tx1"/>
            </w14:solidFill>
          </w14:textFill>
        </w:rPr>
        <w:t>水洗工艺设置纯水槽</w:t>
      </w:r>
      <w:r>
        <w:rPr>
          <w:rFonts w:hint="eastAsia" w:ascii="Times New Roman" w:hAnsi="Times New Roman" w:eastAsia="宋体" w:cs="Times New Roman"/>
          <w:color w:val="auto"/>
          <w:sz w:val="24"/>
          <w:highlight w:val="none"/>
          <w:lang w:val="en-US" w:eastAsia="zh-CN"/>
        </w:rPr>
        <w:t>1</w:t>
      </w:r>
      <w:r>
        <w:rPr>
          <w:rFonts w:hint="default" w:ascii="Times New Roman" w:hAnsi="Times New Roman" w:eastAsia="宋体" w:cs="Times New Roman"/>
          <w:color w:val="auto"/>
          <w:sz w:val="24"/>
          <w:highlight w:val="none"/>
        </w:rPr>
        <w:t>个</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lang w:val="en-US" w:eastAsia="zh-CN"/>
        </w:rPr>
        <w:t>水洗槽①</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水洗槽尺寸均为长3.0m*宽1.0m*高1.5m（液深1.2m）</w:t>
      </w:r>
      <w:r>
        <w:rPr>
          <w:rFonts w:hint="default" w:ascii="Times New Roman" w:hAnsi="Times New Roman" w:eastAsia="宋体" w:cs="Times New Roman"/>
          <w:color w:val="000000" w:themeColor="text1"/>
          <w:sz w:val="24"/>
          <w:highlight w:val="none"/>
          <w14:textFill>
            <w14:solidFill>
              <w14:schemeClr w14:val="tx1"/>
            </w14:solidFill>
          </w14:textFill>
        </w:rPr>
        <w:t>，清洗水更换周期为</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1个月，浸泡时长为10min，清洗温度为室温</w:t>
      </w:r>
      <w:r>
        <w:rPr>
          <w:rFonts w:hint="default" w:ascii="Times New Roman" w:hAnsi="Times New Roman" w:eastAsia="宋体" w:cs="Times New Roman"/>
          <w:color w:val="000000" w:themeColor="text1"/>
          <w:sz w:val="24"/>
          <w:highlight w:val="none"/>
          <w14:textFill>
            <w14:solidFill>
              <w14:schemeClr w14:val="tx1"/>
            </w14:solidFill>
          </w14:textFill>
        </w:rPr>
        <w:t>。</w:t>
      </w:r>
    </w:p>
    <w:p w14:paraId="1EA883CD">
      <w:pPr>
        <w:spacing w:line="360" w:lineRule="auto"/>
        <w:ind w:firstLine="482" w:firstLineChars="200"/>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本工段的产污环节主要</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为：清洗废水（W2）。</w:t>
      </w:r>
    </w:p>
    <w:p w14:paraId="1DE57757">
      <w:pPr>
        <w:spacing w:line="360" w:lineRule="auto"/>
        <w:ind w:firstLine="480" w:firstLineChars="20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szCs w:val="22"/>
          <w:highlight w:val="none"/>
          <w:lang w:val="en-US" w:eastAsia="zh-CN"/>
          <w14:textFill>
            <w14:solidFill>
              <w14:schemeClr w14:val="tx1"/>
            </w14:solidFill>
          </w14:textFill>
        </w:rPr>
        <w:t>5、硫酸阳极氧化</w:t>
      </w:r>
      <w:r>
        <w:rPr>
          <w:rFonts w:hint="default" w:ascii="Times New Roman" w:hAnsi="Times New Roman" w:eastAsia="宋体" w:cs="Times New Roman"/>
          <w:color w:val="000000" w:themeColor="text1"/>
          <w:sz w:val="24"/>
          <w:szCs w:val="22"/>
          <w:highlight w:val="none"/>
          <w14:textFill>
            <w14:solidFill>
              <w14:schemeClr w14:val="tx1"/>
            </w14:solidFill>
          </w14:textFill>
        </w:rPr>
        <w:t>：</w:t>
      </w:r>
      <w:r>
        <w:rPr>
          <w:rFonts w:hint="default" w:ascii="Times New Roman" w:hAnsi="Times New Roman" w:eastAsia="宋体" w:cs="Times New Roman"/>
          <w:color w:val="000000" w:themeColor="text1"/>
          <w:sz w:val="24"/>
          <w:highlight w:val="none"/>
          <w14:textFill>
            <w14:solidFill>
              <w14:schemeClr w14:val="tx1"/>
            </w14:solidFill>
          </w14:textFill>
        </w:rPr>
        <w:t>铝阳极氧化是是一种电解氧化过程，将铝制品作为阳极置于电解质溶液中，利用电解质作用使其表面形成一层具有某种功能（如防护性、装饰性或其它功能）的氧化铝薄膜的过程。铝阳极氧化的原理实质上就是水电解的原理。具体如下：</w:t>
      </w:r>
    </w:p>
    <w:p w14:paraId="237AB6CF">
      <w:pPr>
        <w:pStyle w:val="13"/>
        <w:keepNext w:val="0"/>
        <w:keepLines w:val="0"/>
        <w:pageBreakBefore w:val="0"/>
        <w:kinsoku/>
        <w:wordWrap/>
        <w:overflowPunct/>
        <w:topLinePunct w:val="0"/>
        <w:autoSpaceDE/>
        <w:autoSpaceDN/>
        <w:bidi w:val="0"/>
        <w:adjustRightInd/>
        <w:snapToGrid/>
        <w:spacing w:after="0" w:line="360" w:lineRule="auto"/>
        <w:ind w:firstLine="480" w:firstLineChars="200"/>
        <w:jc w:val="both"/>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当电流通过时，阳极和阴极上便发生如下反应：</w:t>
      </w:r>
    </w:p>
    <w:p w14:paraId="2A8D189D">
      <w:pPr>
        <w:pStyle w:val="13"/>
        <w:keepNext w:val="0"/>
        <w:keepLines w:val="0"/>
        <w:pageBreakBefore w:val="0"/>
        <w:kinsoku/>
        <w:wordWrap/>
        <w:overflowPunct/>
        <w:topLinePunct w:val="0"/>
        <w:autoSpaceDE/>
        <w:autoSpaceDN/>
        <w:bidi w:val="0"/>
        <w:adjustRightInd/>
        <w:snapToGrid/>
        <w:spacing w:after="0" w:line="360" w:lineRule="auto"/>
        <w:ind w:firstLine="1680" w:firstLineChars="700"/>
        <w:jc w:val="both"/>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阴极：2H</w:t>
      </w:r>
      <w:r>
        <w:rPr>
          <w:rFonts w:hint="default" w:ascii="Times New Roman" w:hAnsi="Times New Roman" w:cs="Times New Roman"/>
          <w:color w:val="000000" w:themeColor="text1"/>
          <w:sz w:val="24"/>
          <w:highlight w:val="none"/>
          <w:vertAlign w:val="superscript"/>
          <w14:textFill>
            <w14:solidFill>
              <w14:schemeClr w14:val="tx1"/>
            </w14:solidFill>
          </w14:textFill>
        </w:rPr>
        <w:t>+</w:t>
      </w:r>
      <w:r>
        <w:rPr>
          <w:rFonts w:hint="default" w:ascii="Times New Roman" w:hAnsi="Times New Roman" w:cs="Times New Roman"/>
          <w:color w:val="000000" w:themeColor="text1"/>
          <w:sz w:val="24"/>
          <w:highlight w:val="none"/>
          <w14:textFill>
            <w14:solidFill>
              <w14:schemeClr w14:val="tx1"/>
            </w14:solidFill>
          </w14:textFill>
        </w:rPr>
        <w:t>+2e→H</w:t>
      </w:r>
      <w:r>
        <w:rPr>
          <w:rFonts w:hint="default" w:ascii="Times New Roman" w:hAnsi="Times New Roman" w:cs="Times New Roman"/>
          <w:color w:val="000000" w:themeColor="text1"/>
          <w:sz w:val="24"/>
          <w:highlight w:val="none"/>
          <w:vertAlign w:val="subscript"/>
          <w14:textFill>
            <w14:solidFill>
              <w14:schemeClr w14:val="tx1"/>
            </w14:solidFill>
          </w14:textFill>
        </w:rPr>
        <w:t>2</w:t>
      </w:r>
      <w:r>
        <w:rPr>
          <w:rFonts w:hint="default" w:ascii="Times New Roman" w:hAnsi="Times New Roman" w:cs="Times New Roman"/>
          <w:color w:val="000000" w:themeColor="text1"/>
          <w:sz w:val="24"/>
          <w:highlight w:val="none"/>
          <w14:textFill>
            <w14:solidFill>
              <w14:schemeClr w14:val="tx1"/>
            </w14:solidFill>
          </w14:textFill>
        </w:rPr>
        <w:t>↑</w:t>
      </w:r>
    </w:p>
    <w:p w14:paraId="45C5E44C">
      <w:pPr>
        <w:pStyle w:val="13"/>
        <w:keepNext w:val="0"/>
        <w:keepLines w:val="0"/>
        <w:pageBreakBefore w:val="0"/>
        <w:kinsoku/>
        <w:wordWrap/>
        <w:overflowPunct/>
        <w:topLinePunct w:val="0"/>
        <w:autoSpaceDE/>
        <w:autoSpaceDN/>
        <w:bidi w:val="0"/>
        <w:adjustRightInd/>
        <w:snapToGrid/>
        <w:spacing w:after="0" w:line="360" w:lineRule="auto"/>
        <w:ind w:firstLine="1680" w:firstLineChars="700"/>
        <w:jc w:val="both"/>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阳极：H</w:t>
      </w:r>
      <w:r>
        <w:rPr>
          <w:rFonts w:hint="default" w:ascii="Times New Roman" w:hAnsi="Times New Roman" w:cs="Times New Roman"/>
          <w:color w:val="000000" w:themeColor="text1"/>
          <w:sz w:val="24"/>
          <w:highlight w:val="none"/>
          <w:vertAlign w:val="subscript"/>
          <w14:textFill>
            <w14:solidFill>
              <w14:schemeClr w14:val="tx1"/>
            </w14:solidFill>
          </w14:textFill>
        </w:rPr>
        <w:t>2</w:t>
      </w:r>
      <w:r>
        <w:rPr>
          <w:rFonts w:hint="default" w:ascii="Times New Roman" w:hAnsi="Times New Roman" w:cs="Times New Roman"/>
          <w:color w:val="000000" w:themeColor="text1"/>
          <w:sz w:val="24"/>
          <w:highlight w:val="none"/>
          <w14:textFill>
            <w14:solidFill>
              <w14:schemeClr w14:val="tx1"/>
            </w14:solidFill>
          </w14:textFill>
        </w:rPr>
        <w:t>O-2e→2H</w:t>
      </w:r>
      <w:r>
        <w:rPr>
          <w:rFonts w:hint="default" w:ascii="Times New Roman" w:hAnsi="Times New Roman" w:cs="Times New Roman"/>
          <w:color w:val="000000" w:themeColor="text1"/>
          <w:sz w:val="24"/>
          <w:highlight w:val="none"/>
          <w:vertAlign w:val="superscript"/>
          <w14:textFill>
            <w14:solidFill>
              <w14:schemeClr w14:val="tx1"/>
            </w14:solidFill>
          </w14:textFill>
        </w:rPr>
        <w:t>+</w:t>
      </w:r>
      <w:r>
        <w:rPr>
          <w:rFonts w:hint="default" w:ascii="Times New Roman" w:hAnsi="Times New Roman" w:cs="Times New Roman"/>
          <w:color w:val="000000" w:themeColor="text1"/>
          <w:sz w:val="24"/>
          <w:highlight w:val="none"/>
          <w14:textFill>
            <w14:solidFill>
              <w14:schemeClr w14:val="tx1"/>
            </w14:solidFill>
          </w14:textFill>
        </w:rPr>
        <w:t>+[O]；2Al+3[O]→Al</w:t>
      </w:r>
      <w:r>
        <w:rPr>
          <w:rFonts w:hint="default" w:ascii="Times New Roman" w:hAnsi="Times New Roman" w:cs="Times New Roman"/>
          <w:color w:val="000000" w:themeColor="text1"/>
          <w:sz w:val="24"/>
          <w:highlight w:val="none"/>
          <w:vertAlign w:val="subscript"/>
          <w14:textFill>
            <w14:solidFill>
              <w14:schemeClr w14:val="tx1"/>
            </w14:solidFill>
          </w14:textFill>
        </w:rPr>
        <w:t>2</w:t>
      </w:r>
      <w:r>
        <w:rPr>
          <w:rFonts w:hint="default" w:ascii="Times New Roman" w:hAnsi="Times New Roman" w:cs="Times New Roman"/>
          <w:color w:val="000000" w:themeColor="text1"/>
          <w:sz w:val="24"/>
          <w:highlight w:val="none"/>
          <w14:textFill>
            <w14:solidFill>
              <w14:schemeClr w14:val="tx1"/>
            </w14:solidFill>
          </w14:textFill>
        </w:rPr>
        <w:t>O</w:t>
      </w:r>
      <w:r>
        <w:rPr>
          <w:rFonts w:hint="default" w:ascii="Times New Roman" w:hAnsi="Times New Roman" w:cs="Times New Roman"/>
          <w:color w:val="000000" w:themeColor="text1"/>
          <w:sz w:val="24"/>
          <w:highlight w:val="none"/>
          <w:vertAlign w:val="subscript"/>
          <w14:textFill>
            <w14:solidFill>
              <w14:schemeClr w14:val="tx1"/>
            </w14:solidFill>
          </w14:textFill>
        </w:rPr>
        <w:t>3</w:t>
      </w:r>
    </w:p>
    <w:p w14:paraId="2C265CB4">
      <w:pPr>
        <w:pStyle w:val="13"/>
        <w:keepNext w:val="0"/>
        <w:keepLines w:val="0"/>
        <w:pageBreakBefore w:val="0"/>
        <w:kinsoku/>
        <w:wordWrap/>
        <w:overflowPunct/>
        <w:topLinePunct w:val="0"/>
        <w:autoSpaceDE/>
        <w:autoSpaceDN/>
        <w:bidi w:val="0"/>
        <w:adjustRightInd/>
        <w:snapToGrid/>
        <w:spacing w:after="0" w:line="360" w:lineRule="auto"/>
        <w:ind w:firstLine="480" w:firstLineChars="200"/>
        <w:jc w:val="left"/>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经过上述反应，作为阳极的铝表面形成一层Al</w:t>
      </w:r>
      <w:r>
        <w:rPr>
          <w:rFonts w:hint="default" w:ascii="Times New Roman" w:hAnsi="Times New Roman" w:cs="Times New Roman"/>
          <w:color w:val="000000" w:themeColor="text1"/>
          <w:sz w:val="24"/>
          <w:highlight w:val="none"/>
          <w:vertAlign w:val="subscript"/>
          <w14:textFill>
            <w14:solidFill>
              <w14:schemeClr w14:val="tx1"/>
            </w14:solidFill>
          </w14:textFill>
        </w:rPr>
        <w:t>2</w:t>
      </w:r>
      <w:r>
        <w:rPr>
          <w:rFonts w:hint="default" w:ascii="Times New Roman" w:hAnsi="Times New Roman" w:cs="Times New Roman"/>
          <w:color w:val="000000" w:themeColor="text1"/>
          <w:sz w:val="24"/>
          <w:highlight w:val="none"/>
          <w14:textFill>
            <w14:solidFill>
              <w14:schemeClr w14:val="tx1"/>
            </w14:solidFill>
          </w14:textFill>
        </w:rPr>
        <w:t>O</w:t>
      </w:r>
      <w:r>
        <w:rPr>
          <w:rFonts w:hint="default" w:ascii="Times New Roman" w:hAnsi="Times New Roman" w:cs="Times New Roman"/>
          <w:color w:val="000000" w:themeColor="text1"/>
          <w:sz w:val="24"/>
          <w:highlight w:val="none"/>
          <w:vertAlign w:val="subscript"/>
          <w14:textFill>
            <w14:solidFill>
              <w14:schemeClr w14:val="tx1"/>
            </w14:solidFill>
          </w14:textFill>
        </w:rPr>
        <w:t>3</w:t>
      </w:r>
      <w:r>
        <w:rPr>
          <w:rFonts w:hint="default" w:ascii="Times New Roman" w:hAnsi="Times New Roman" w:cs="Times New Roman"/>
          <w:color w:val="000000" w:themeColor="text1"/>
          <w:sz w:val="24"/>
          <w:highlight w:val="none"/>
          <w14:textFill>
            <w14:solidFill>
              <w14:schemeClr w14:val="tx1"/>
            </w14:solidFill>
          </w14:textFill>
        </w:rPr>
        <w:t>薄膜，但是，几乎同时在氧化膜/溶液界面上也在发生氧化膜的化学溶解：</w:t>
      </w:r>
    </w:p>
    <w:p w14:paraId="136E51E4">
      <w:pPr>
        <w:pStyle w:val="13"/>
        <w:keepNext w:val="0"/>
        <w:keepLines w:val="0"/>
        <w:pageBreakBefore w:val="0"/>
        <w:kinsoku/>
        <w:wordWrap/>
        <w:overflowPunct/>
        <w:topLinePunct w:val="0"/>
        <w:autoSpaceDE/>
        <w:autoSpaceDN/>
        <w:bidi w:val="0"/>
        <w:adjustRightInd/>
        <w:snapToGrid/>
        <w:spacing w:after="0" w:line="360" w:lineRule="auto"/>
        <w:ind w:firstLine="1680" w:firstLineChars="700"/>
        <w:jc w:val="both"/>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Al</w:t>
      </w:r>
      <w:r>
        <w:rPr>
          <w:rFonts w:hint="default" w:ascii="Times New Roman" w:hAnsi="Times New Roman" w:cs="Times New Roman"/>
          <w:color w:val="000000" w:themeColor="text1"/>
          <w:sz w:val="24"/>
          <w:highlight w:val="none"/>
          <w:vertAlign w:val="subscript"/>
          <w14:textFill>
            <w14:solidFill>
              <w14:schemeClr w14:val="tx1"/>
            </w14:solidFill>
          </w14:textFill>
        </w:rPr>
        <w:t>2</w:t>
      </w:r>
      <w:r>
        <w:rPr>
          <w:rFonts w:hint="default" w:ascii="Times New Roman" w:hAnsi="Times New Roman" w:cs="Times New Roman"/>
          <w:color w:val="000000" w:themeColor="text1"/>
          <w:sz w:val="24"/>
          <w:highlight w:val="none"/>
          <w14:textFill>
            <w14:solidFill>
              <w14:schemeClr w14:val="tx1"/>
            </w14:solidFill>
          </w14:textFill>
        </w:rPr>
        <w:t>O</w:t>
      </w:r>
      <w:r>
        <w:rPr>
          <w:rFonts w:hint="default" w:ascii="Times New Roman" w:hAnsi="Times New Roman" w:cs="Times New Roman"/>
          <w:color w:val="000000" w:themeColor="text1"/>
          <w:sz w:val="24"/>
          <w:highlight w:val="none"/>
          <w:vertAlign w:val="subscript"/>
          <w14:textFill>
            <w14:solidFill>
              <w14:schemeClr w14:val="tx1"/>
            </w14:solidFill>
          </w14:textFill>
        </w:rPr>
        <w:t>3</w:t>
      </w:r>
      <w:r>
        <w:rPr>
          <w:rFonts w:hint="default" w:ascii="Times New Roman" w:hAnsi="Times New Roman" w:cs="Times New Roman"/>
          <w:color w:val="000000" w:themeColor="text1"/>
          <w:sz w:val="24"/>
          <w:highlight w:val="none"/>
          <w14:textFill>
            <w14:solidFill>
              <w14:schemeClr w14:val="tx1"/>
            </w14:solidFill>
          </w14:textFill>
        </w:rPr>
        <w:t>+3H</w:t>
      </w:r>
      <w:r>
        <w:rPr>
          <w:rFonts w:hint="default" w:ascii="Times New Roman" w:hAnsi="Times New Roman" w:cs="Times New Roman"/>
          <w:color w:val="000000" w:themeColor="text1"/>
          <w:sz w:val="24"/>
          <w:highlight w:val="none"/>
          <w:vertAlign w:val="subscript"/>
          <w14:textFill>
            <w14:solidFill>
              <w14:schemeClr w14:val="tx1"/>
            </w14:solidFill>
          </w14:textFill>
        </w:rPr>
        <w:t>2</w:t>
      </w:r>
      <w:r>
        <w:rPr>
          <w:rFonts w:hint="default" w:ascii="Times New Roman" w:hAnsi="Times New Roman" w:cs="Times New Roman"/>
          <w:color w:val="000000" w:themeColor="text1"/>
          <w:sz w:val="24"/>
          <w:highlight w:val="none"/>
          <w14:textFill>
            <w14:solidFill>
              <w14:schemeClr w14:val="tx1"/>
            </w14:solidFill>
          </w14:textFill>
        </w:rPr>
        <w:t>SO</w:t>
      </w:r>
      <w:r>
        <w:rPr>
          <w:rFonts w:hint="default" w:ascii="Times New Roman" w:hAnsi="Times New Roman" w:cs="Times New Roman"/>
          <w:color w:val="000000" w:themeColor="text1"/>
          <w:sz w:val="24"/>
          <w:highlight w:val="none"/>
          <w:vertAlign w:val="subscript"/>
          <w14:textFill>
            <w14:solidFill>
              <w14:schemeClr w14:val="tx1"/>
            </w14:solidFill>
          </w14:textFill>
        </w:rPr>
        <w:t>4</w:t>
      </w:r>
      <w:r>
        <w:rPr>
          <w:rFonts w:hint="default" w:ascii="Times New Roman" w:hAnsi="Times New Roman" w:cs="Times New Roman"/>
          <w:color w:val="000000" w:themeColor="text1"/>
          <w:sz w:val="24"/>
          <w:highlight w:val="none"/>
          <w14:textFill>
            <w14:solidFill>
              <w14:schemeClr w14:val="tx1"/>
            </w14:solidFill>
          </w14:textFill>
        </w:rPr>
        <w:t>→Al</w:t>
      </w:r>
      <w:r>
        <w:rPr>
          <w:rFonts w:hint="default" w:ascii="Times New Roman" w:hAnsi="Times New Roman" w:cs="Times New Roman"/>
          <w:color w:val="000000" w:themeColor="text1"/>
          <w:sz w:val="24"/>
          <w:highlight w:val="none"/>
          <w:vertAlign w:val="subscript"/>
          <w14:textFill>
            <w14:solidFill>
              <w14:schemeClr w14:val="tx1"/>
            </w14:solidFill>
          </w14:textFill>
        </w:rPr>
        <w:t>2</w:t>
      </w:r>
      <w:r>
        <w:rPr>
          <w:rFonts w:hint="default" w:ascii="Times New Roman" w:hAnsi="Times New Roman" w:cs="Times New Roman"/>
          <w:color w:val="000000" w:themeColor="text1"/>
          <w:sz w:val="24"/>
          <w:highlight w:val="none"/>
          <w14:textFill>
            <w14:solidFill>
              <w14:schemeClr w14:val="tx1"/>
            </w14:solidFill>
          </w14:textFill>
        </w:rPr>
        <w:t>（SO</w:t>
      </w:r>
      <w:r>
        <w:rPr>
          <w:rFonts w:hint="default" w:ascii="Times New Roman" w:hAnsi="Times New Roman" w:cs="Times New Roman"/>
          <w:color w:val="000000" w:themeColor="text1"/>
          <w:sz w:val="24"/>
          <w:highlight w:val="none"/>
          <w:vertAlign w:val="subscript"/>
          <w14:textFill>
            <w14:solidFill>
              <w14:schemeClr w14:val="tx1"/>
            </w14:solidFill>
          </w14:textFill>
        </w:rPr>
        <w:t>4</w:t>
      </w:r>
      <w:r>
        <w:rPr>
          <w:rFonts w:hint="eastAsia" w:ascii="Times New Roman" w:hAnsi="Times New Roman" w:cs="Times New Roman"/>
          <w:color w:val="000000" w:themeColor="text1"/>
          <w:sz w:val="24"/>
          <w:highlight w:val="none"/>
          <w:lang w:eastAsia="zh-CN"/>
          <w14:textFill>
            <w14:solidFill>
              <w14:schemeClr w14:val="tx1"/>
            </w14:solidFill>
          </w14:textFill>
        </w:rPr>
        <w:t>）</w:t>
      </w:r>
      <w:r>
        <w:rPr>
          <w:rFonts w:hint="default" w:ascii="Times New Roman" w:hAnsi="Times New Roman" w:cs="Times New Roman"/>
          <w:color w:val="000000" w:themeColor="text1"/>
          <w:sz w:val="24"/>
          <w:highlight w:val="none"/>
          <w:vertAlign w:val="subscript"/>
          <w14:textFill>
            <w14:solidFill>
              <w14:schemeClr w14:val="tx1"/>
            </w14:solidFill>
          </w14:textFill>
        </w:rPr>
        <w:t>3</w:t>
      </w:r>
      <w:r>
        <w:rPr>
          <w:rFonts w:hint="default" w:ascii="Times New Roman" w:hAnsi="Times New Roman" w:cs="Times New Roman"/>
          <w:color w:val="000000" w:themeColor="text1"/>
          <w:sz w:val="24"/>
          <w:highlight w:val="none"/>
          <w14:textFill>
            <w14:solidFill>
              <w14:schemeClr w14:val="tx1"/>
            </w14:solidFill>
          </w14:textFill>
        </w:rPr>
        <w:t>+3H</w:t>
      </w:r>
      <w:r>
        <w:rPr>
          <w:rFonts w:hint="default" w:ascii="Times New Roman" w:hAnsi="Times New Roman" w:cs="Times New Roman"/>
          <w:color w:val="000000" w:themeColor="text1"/>
          <w:sz w:val="24"/>
          <w:highlight w:val="none"/>
          <w:vertAlign w:val="subscript"/>
          <w14:textFill>
            <w14:solidFill>
              <w14:schemeClr w14:val="tx1"/>
            </w14:solidFill>
          </w14:textFill>
        </w:rPr>
        <w:t>2</w:t>
      </w:r>
      <w:r>
        <w:rPr>
          <w:rFonts w:hint="default" w:ascii="Times New Roman" w:hAnsi="Times New Roman" w:cs="Times New Roman"/>
          <w:color w:val="000000" w:themeColor="text1"/>
          <w:sz w:val="24"/>
          <w:highlight w:val="none"/>
          <w14:textFill>
            <w14:solidFill>
              <w14:schemeClr w14:val="tx1"/>
            </w14:solidFill>
          </w14:textFill>
        </w:rPr>
        <w:t>O</w:t>
      </w:r>
    </w:p>
    <w:p w14:paraId="628E1A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default" w:ascii="Times New Roman" w:hAnsi="Times New Roman" w:eastAsia="宋体" w:cs="Times New Roman"/>
          <w:color w:val="000000" w:themeColor="text1"/>
          <w:sz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氧化膜的生成与溶解同时进行，阳极氧化初期，膜的生成速度大于溶解速度， 膜的厚度不断增加；随着厚度的增加，其电阻也增大，结果使膜的生长速度减慢， 一直到与膜溶解速度相等时，薄膜的沉积趋于稳定，厚度为一定值</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w:t>
      </w:r>
    </w:p>
    <w:p w14:paraId="29C464FE">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rPr>
          <w:rFonts w:hint="default" w:ascii="Times New Roman" w:hAnsi="Times New Roman" w:eastAsia="宋体" w:cs="Times New Roman"/>
          <w:color w:val="000000" w:themeColor="text1"/>
          <w:sz w:val="24"/>
          <w:szCs w:val="22"/>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本项目阳极氧化工序采用硫酸阳极氧化方式，将铝材通过可移动式吊架放入氧化槽中，与电解</w:t>
      </w:r>
      <w:r>
        <w:rPr>
          <w:rFonts w:hint="default" w:ascii="Times New Roman" w:hAnsi="Times New Roman" w:eastAsia="宋体" w:cs="Times New Roman"/>
          <w:color w:val="000000" w:themeColor="text1"/>
          <w:sz w:val="24"/>
          <w:szCs w:val="22"/>
          <w:highlight w:val="none"/>
          <w:lang w:val="en-US" w:eastAsia="zh-CN"/>
          <w14:textFill>
            <w14:solidFill>
              <w14:schemeClr w14:val="tx1"/>
            </w14:solidFill>
          </w14:textFill>
        </w:rPr>
        <w:t>液（主要成分为硫酸，同时含有α活性羟基羧酸以延长阳极氧化液寿长）接触，在通入电流的情况下利用电解质使其表面形成一层氧化铝薄膜。工艺温度为室温。电解液直接在氧化槽中采用阳极氧化溶液加入纯水稀释而成，稀释后槽液硫酸浓度在15~20%。在使用过程中，电解液浓度随着使用次数的增加而逐渐降低，当浓度降低至不能满足工艺要求时，直接在电解液中添加硫酸进行浓度的调节，调配过程在阳极氧化槽封闭间内进行，产生的硫酸雾随阳极氧化槽产生的硫酸雾一同被收集处理。</w:t>
      </w:r>
    </w:p>
    <w:p w14:paraId="357CAD8F">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rPr>
          <w:rFonts w:hint="default" w:ascii="Times New Roman" w:hAnsi="Times New Roman" w:eastAsia="宋体" w:cs="Times New Roman"/>
          <w:color w:val="000000" w:themeColor="text1"/>
          <w:sz w:val="24"/>
          <w:szCs w:val="22"/>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2"/>
          <w:highlight w:val="none"/>
          <w:lang w:val="en-US" w:eastAsia="zh-CN"/>
          <w14:textFill>
            <w14:solidFill>
              <w14:schemeClr w14:val="tx1"/>
            </w14:solidFill>
          </w14:textFill>
        </w:rPr>
        <w:t>本项目共设置阳极氧化槽1个，尺寸：长3.0m*宽1.0m*高1.5m（液深1.2m），氧化时长为20min，槽液更换周期为3个月，该工序产生废阳极氧化槽液。</w:t>
      </w:r>
    </w:p>
    <w:p w14:paraId="605B899F">
      <w:pPr>
        <w:spacing w:line="360" w:lineRule="auto"/>
        <w:ind w:firstLine="482" w:firstLineChars="200"/>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本工段的产污环节主要</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为：阳极氧化及槽液配置产生的硫酸雾（G2）、废阳极氧化槽液（W3）、化学品包装瓶/桶（S9）、废槽渣</w:t>
      </w:r>
      <w:r>
        <w:rPr>
          <w:rFonts w:hint="default" w:ascii="Times New Roman" w:hAnsi="Times New Roman" w:eastAsia="宋体" w:cs="Times New Roman"/>
          <w:b/>
          <w:bCs/>
          <w:color w:val="auto"/>
          <w:sz w:val="24"/>
          <w:szCs w:val="24"/>
          <w:highlight w:val="none"/>
          <w:lang w:val="en-US" w:eastAsia="zh-CN"/>
        </w:rPr>
        <w:t>（S1</w:t>
      </w:r>
      <w:r>
        <w:rPr>
          <w:rFonts w:hint="eastAsia" w:ascii="Times New Roman" w:hAnsi="Times New Roman" w:eastAsia="宋体" w:cs="Times New Roman"/>
          <w:b/>
          <w:bCs/>
          <w:color w:val="auto"/>
          <w:sz w:val="24"/>
          <w:szCs w:val="24"/>
          <w:highlight w:val="none"/>
          <w:lang w:val="en-US" w:eastAsia="zh-CN"/>
        </w:rPr>
        <w:t>0</w:t>
      </w:r>
      <w:r>
        <w:rPr>
          <w:rFonts w:hint="default" w:ascii="Times New Roman" w:hAnsi="Times New Roman" w:eastAsia="宋体" w:cs="Times New Roman"/>
          <w:b/>
          <w:bCs/>
          <w:color w:val="auto"/>
          <w:sz w:val="24"/>
          <w:szCs w:val="24"/>
          <w:highlight w:val="none"/>
          <w:lang w:val="en-US" w:eastAsia="zh-CN"/>
        </w:rPr>
        <w:t>）</w:t>
      </w:r>
      <w:r>
        <w:rPr>
          <w:rFonts w:hint="eastAsia" w:ascii="Times New Roman" w:hAnsi="Times New Roman" w:eastAsia="宋体" w:cs="Times New Roman"/>
          <w:b/>
          <w:bCs/>
          <w:color w:val="auto"/>
          <w:sz w:val="24"/>
          <w:szCs w:val="24"/>
          <w:highlight w:val="none"/>
          <w:lang w:val="en-US" w:eastAsia="zh-CN"/>
        </w:rPr>
        <w:t>，</w:t>
      </w:r>
      <w:r>
        <w:rPr>
          <w:rFonts w:hint="default" w:ascii="Times New Roman" w:hAnsi="Times New Roman" w:eastAsia="宋体" w:cs="Times New Roman"/>
          <w:b/>
          <w:bCs/>
          <w:color w:val="auto"/>
          <w:sz w:val="24"/>
          <w:szCs w:val="24"/>
          <w:highlight w:val="none"/>
          <w:lang w:val="en-US" w:eastAsia="zh-CN"/>
        </w:rPr>
        <w:t>不合格产品（S1</w:t>
      </w:r>
      <w:r>
        <w:rPr>
          <w:rFonts w:hint="eastAsia" w:ascii="Times New Roman" w:hAnsi="Times New Roman" w:eastAsia="宋体" w:cs="Times New Roman"/>
          <w:b/>
          <w:bCs/>
          <w:color w:val="auto"/>
          <w:sz w:val="24"/>
          <w:szCs w:val="24"/>
          <w:highlight w:val="none"/>
          <w:lang w:val="en-US" w:eastAsia="zh-CN"/>
        </w:rPr>
        <w:t>1</w:t>
      </w:r>
      <w:r>
        <w:rPr>
          <w:rFonts w:hint="default" w:ascii="Times New Roman" w:hAnsi="Times New Roman" w:eastAsia="宋体" w:cs="Times New Roman"/>
          <w:b/>
          <w:bCs/>
          <w:color w:val="auto"/>
          <w:sz w:val="24"/>
          <w:szCs w:val="24"/>
          <w:highlight w:val="none"/>
          <w:lang w:val="en-US" w:eastAsia="zh-CN"/>
        </w:rPr>
        <w:t>）。</w:t>
      </w:r>
    </w:p>
    <w:p w14:paraId="4880FD24">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0" w:firstLineChars="200"/>
        <w:textAlignment w:val="baseline"/>
        <w:rPr>
          <w:rFonts w:hint="default" w:ascii="Times New Roman" w:hAnsi="Times New Roman" w:eastAsia="宋体" w:cs="Times New Roman"/>
          <w:color w:val="000000" w:themeColor="text1"/>
          <w:sz w:val="24"/>
          <w:szCs w:val="22"/>
          <w:highlight w:val="none"/>
          <w14:textFill>
            <w14:solidFill>
              <w14:schemeClr w14:val="tx1"/>
            </w14:solidFill>
          </w14:textFill>
        </w:rPr>
      </w:pPr>
      <w:r>
        <w:rPr>
          <w:rFonts w:hint="default" w:ascii="Times New Roman" w:hAnsi="Times New Roman" w:eastAsia="宋体" w:cs="Times New Roman"/>
          <w:color w:val="000000" w:themeColor="text1"/>
          <w:sz w:val="24"/>
          <w:szCs w:val="22"/>
          <w:highlight w:val="none"/>
          <w:lang w:val="en-US" w:eastAsia="zh-CN"/>
          <w14:textFill>
            <w14:solidFill>
              <w14:schemeClr w14:val="tx1"/>
            </w14:solidFill>
          </w14:textFill>
        </w:rPr>
        <w:t>水洗③</w:t>
      </w:r>
      <w:r>
        <w:rPr>
          <w:rFonts w:hint="default" w:ascii="Times New Roman" w:hAnsi="Times New Roman" w:eastAsia="宋体" w:cs="Times New Roman"/>
          <w:color w:val="000000" w:themeColor="text1"/>
          <w:sz w:val="24"/>
          <w:szCs w:val="22"/>
          <w:highlight w:val="none"/>
          <w14:textFill>
            <w14:solidFill>
              <w14:schemeClr w14:val="tx1"/>
            </w14:solidFill>
          </w14:textFill>
        </w:rPr>
        <w:t>：</w:t>
      </w:r>
      <w:r>
        <w:rPr>
          <w:rFonts w:hint="default" w:ascii="Times New Roman" w:hAnsi="Times New Roman" w:eastAsia="宋体" w:cs="Times New Roman"/>
          <w:bCs/>
          <w:color w:val="000000" w:themeColor="text1"/>
          <w:kern w:val="0"/>
          <w:sz w:val="24"/>
          <w:highlight w:val="none"/>
          <w:lang w:val="en-US" w:eastAsia="zh-CN"/>
          <w14:textFill>
            <w14:solidFill>
              <w14:schemeClr w14:val="tx1"/>
            </w14:solidFill>
          </w14:textFill>
        </w:rPr>
        <w:t>阳极氧化</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后</w:t>
      </w:r>
      <w:r>
        <w:rPr>
          <w:rFonts w:hint="default" w:ascii="Times New Roman" w:hAnsi="Times New Roman" w:eastAsia="宋体" w:cs="Times New Roman"/>
          <w:color w:val="000000" w:themeColor="text1"/>
          <w:sz w:val="24"/>
          <w:highlight w:val="none"/>
          <w14:textFill>
            <w14:solidFill>
              <w14:schemeClr w14:val="tx1"/>
            </w14:solidFill>
          </w14:textFill>
        </w:rPr>
        <w:t>将铝</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件</w:t>
      </w:r>
      <w:r>
        <w:rPr>
          <w:rFonts w:hint="default" w:ascii="Times New Roman" w:hAnsi="Times New Roman" w:eastAsia="宋体" w:cs="Times New Roman"/>
          <w:color w:val="000000" w:themeColor="text1"/>
          <w:sz w:val="24"/>
          <w:highlight w:val="none"/>
          <w14:textFill>
            <w14:solidFill>
              <w14:schemeClr w14:val="tx1"/>
            </w14:solidFill>
          </w14:textFill>
        </w:rPr>
        <w:t>通过</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可移动式吊架</w:t>
      </w:r>
      <w:r>
        <w:rPr>
          <w:rFonts w:hint="default" w:ascii="Times New Roman" w:hAnsi="Times New Roman" w:eastAsia="宋体" w:cs="Times New Roman"/>
          <w:color w:val="000000" w:themeColor="text1"/>
          <w:sz w:val="24"/>
          <w:highlight w:val="none"/>
          <w14:textFill>
            <w14:solidFill>
              <w14:schemeClr w14:val="tx1"/>
            </w14:solidFill>
          </w14:textFill>
        </w:rPr>
        <w:t>放入纯水槽中进行浸泡清洗，</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该工序与工序（4）一致，主要目的为清除工件表面酸液</w:t>
      </w:r>
      <w:r>
        <w:rPr>
          <w:rFonts w:hint="default" w:ascii="Times New Roman" w:hAnsi="Times New Roman" w:eastAsia="宋体" w:cs="Times New Roman"/>
          <w:color w:val="000000" w:themeColor="text1"/>
          <w:sz w:val="24"/>
          <w:highlight w:val="none"/>
          <w14:textFill>
            <w14:solidFill>
              <w14:schemeClr w14:val="tx1"/>
            </w14:solidFill>
          </w14:textFill>
        </w:rPr>
        <w:t>。水洗</w:t>
      </w:r>
      <w:r>
        <w:rPr>
          <w:rFonts w:hint="default" w:ascii="Times New Roman" w:hAnsi="Times New Roman" w:eastAsia="宋体" w:cs="Times New Roman"/>
          <w:color w:val="000000" w:themeColor="text1"/>
          <w:sz w:val="24"/>
          <w:szCs w:val="22"/>
          <w:highlight w:val="none"/>
          <w:lang w:val="en-US" w:eastAsia="zh-CN"/>
          <w14:textFill>
            <w14:solidFill>
              <w14:schemeClr w14:val="tx1"/>
            </w14:solidFill>
          </w14:textFill>
        </w:rPr>
        <w:t>③</w:t>
      </w:r>
      <w:r>
        <w:rPr>
          <w:rFonts w:hint="default" w:ascii="Times New Roman" w:hAnsi="Times New Roman" w:eastAsia="宋体" w:cs="Times New Roman"/>
          <w:color w:val="000000" w:themeColor="text1"/>
          <w:sz w:val="24"/>
          <w:highlight w:val="none"/>
          <w14:textFill>
            <w14:solidFill>
              <w14:schemeClr w14:val="tx1"/>
            </w14:solidFill>
          </w14:textFill>
        </w:rPr>
        <w:t>工艺设置纯水</w:t>
      </w:r>
      <w:r>
        <w:rPr>
          <w:rFonts w:hint="default" w:ascii="Times New Roman" w:hAnsi="Times New Roman" w:eastAsia="宋体" w:cs="Times New Roman"/>
          <w:color w:val="auto"/>
          <w:sz w:val="24"/>
          <w:highlight w:val="none"/>
        </w:rPr>
        <w:t>槽</w:t>
      </w:r>
      <w:r>
        <w:rPr>
          <w:rFonts w:hint="eastAsia" w:ascii="Times New Roman" w:hAnsi="Times New Roman" w:eastAsia="宋体" w:cs="Times New Roman"/>
          <w:color w:val="auto"/>
          <w:sz w:val="24"/>
          <w:highlight w:val="none"/>
          <w:lang w:val="en-US" w:eastAsia="zh-CN"/>
        </w:rPr>
        <w:t>1</w:t>
      </w:r>
      <w:r>
        <w:rPr>
          <w:rFonts w:hint="default" w:ascii="Times New Roman" w:hAnsi="Times New Roman" w:eastAsia="宋体" w:cs="Times New Roman"/>
          <w:color w:val="auto"/>
          <w:sz w:val="24"/>
          <w:highlight w:val="none"/>
        </w:rPr>
        <w:t>个</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lang w:val="en-US" w:eastAsia="zh-CN"/>
        </w:rPr>
        <w:t>水洗槽③</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w:t>
      </w:r>
      <w:r>
        <w:rPr>
          <w:rFonts w:hint="default" w:ascii="Times New Roman" w:hAnsi="Times New Roman" w:eastAsia="宋体" w:cs="Times New Roman"/>
          <w:color w:val="auto"/>
          <w:sz w:val="24"/>
          <w:highlight w:val="none"/>
          <w:lang w:val="en-US" w:eastAsia="zh-CN"/>
        </w:rPr>
        <w:t>水洗槽尺寸均为长2.0m*宽0.6m*高1.5m（液深1.2m）</w:t>
      </w:r>
      <w:r>
        <w:rPr>
          <w:rFonts w:hint="default" w:ascii="Times New Roman" w:hAnsi="Times New Roman" w:eastAsia="宋体" w:cs="Times New Roman"/>
          <w:color w:val="auto"/>
          <w:sz w:val="24"/>
          <w:highlight w:val="none"/>
        </w:rPr>
        <w:t>，清洗水更换周期为</w:t>
      </w:r>
      <w:r>
        <w:rPr>
          <w:rFonts w:hint="default" w:ascii="Times New Roman" w:hAnsi="Times New Roman" w:eastAsia="宋体" w:cs="Times New Roman"/>
          <w:color w:val="auto"/>
          <w:sz w:val="24"/>
          <w:highlight w:val="none"/>
          <w:lang w:val="en-US" w:eastAsia="zh-CN"/>
        </w:rPr>
        <w:t>1个月，清洗温</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度为室温，浸泡时间为5min</w:t>
      </w:r>
      <w:r>
        <w:rPr>
          <w:rFonts w:hint="default" w:ascii="Times New Roman" w:hAnsi="Times New Roman" w:eastAsia="宋体" w:cs="Times New Roman"/>
          <w:color w:val="000000" w:themeColor="text1"/>
          <w:sz w:val="24"/>
          <w:szCs w:val="22"/>
          <w:highlight w:val="none"/>
          <w14:textFill>
            <w14:solidFill>
              <w14:schemeClr w14:val="tx1"/>
            </w14:solidFill>
          </w14:textFill>
        </w:rPr>
        <w:t>。</w:t>
      </w:r>
    </w:p>
    <w:p w14:paraId="6B2905B2">
      <w:pPr>
        <w:numPr>
          <w:ilvl w:val="0"/>
          <w:numId w:val="0"/>
        </w:numPr>
        <w:spacing w:line="360" w:lineRule="auto"/>
        <w:ind w:firstLine="482" w:firstLineChars="200"/>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本工段的产污环节主要</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为：清洗废水（W</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2）</w:t>
      </w: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w:t>
      </w:r>
    </w:p>
    <w:p w14:paraId="3C70373B">
      <w:pPr>
        <w:numPr>
          <w:ilvl w:val="0"/>
          <w:numId w:val="4"/>
        </w:numPr>
        <w:spacing w:line="360" w:lineRule="auto"/>
        <w:ind w:left="0" w:leftChars="0" w:firstLine="480" w:firstLineChars="200"/>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2"/>
          <w:highlight w:val="none"/>
          <w:lang w:val="en-US" w:eastAsia="zh-CN"/>
          <w14:textFill>
            <w14:solidFill>
              <w14:schemeClr w14:val="tx1"/>
            </w14:solidFill>
          </w14:textFill>
        </w:rPr>
        <w:t>封闭</w:t>
      </w:r>
      <w:r>
        <w:rPr>
          <w:rFonts w:hint="default" w:ascii="Times New Roman" w:hAnsi="Times New Roman" w:eastAsia="宋体" w:cs="Times New Roman"/>
          <w:color w:val="000000" w:themeColor="text1"/>
          <w:sz w:val="24"/>
          <w:szCs w:val="22"/>
          <w:highlight w:val="none"/>
          <w14:textFill>
            <w14:solidFill>
              <w14:schemeClr w14:val="tx1"/>
            </w14:solidFill>
          </w14:textFill>
        </w:rPr>
        <w:t>：</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封闭工序使用的槽液为封闭剂与水按比例（封闭剂占比 0.5%）调配。铝</w:t>
      </w:r>
      <w:r>
        <w:rPr>
          <w:rFonts w:hint="default" w:ascii="Times New Roman" w:hAnsi="Times New Roman" w:eastAsia="宋体" w:cs="Times New Roman"/>
          <w:color w:val="000000" w:themeColor="text1"/>
          <w:sz w:val="24"/>
          <w:szCs w:val="22"/>
          <w:highlight w:val="none"/>
          <w:lang w:val="en-US" w:eastAsia="zh-CN"/>
          <w14:textFill>
            <w14:solidFill>
              <w14:schemeClr w14:val="tx1"/>
            </w14:solidFill>
          </w14:textFill>
        </w:rPr>
        <w:t>阳极氧化膜是一种具有蜂窝状结构的多孔膜，其微孔数量达7~77×10</w:t>
      </w:r>
      <w:r>
        <w:rPr>
          <w:rFonts w:hint="default" w:ascii="Times New Roman" w:hAnsi="Times New Roman" w:eastAsia="宋体" w:cs="Times New Roman"/>
          <w:color w:val="000000" w:themeColor="text1"/>
          <w:sz w:val="24"/>
          <w:szCs w:val="22"/>
          <w:highlight w:val="none"/>
          <w:vertAlign w:val="superscript"/>
          <w:lang w:val="en-US" w:eastAsia="zh-CN"/>
          <w14:textFill>
            <w14:solidFill>
              <w14:schemeClr w14:val="tx1"/>
            </w14:solidFill>
          </w14:textFill>
        </w:rPr>
        <w:t>9</w:t>
      </w:r>
      <w:r>
        <w:rPr>
          <w:rFonts w:hint="default" w:ascii="Times New Roman" w:hAnsi="Times New Roman" w:eastAsia="宋体" w:cs="Times New Roman"/>
          <w:color w:val="000000" w:themeColor="text1"/>
          <w:sz w:val="24"/>
          <w:szCs w:val="22"/>
          <w:highlight w:val="none"/>
          <w:lang w:val="en-US" w:eastAsia="zh-CN"/>
          <w14:textFill>
            <w14:solidFill>
              <w14:schemeClr w14:val="tx1"/>
            </w14:solidFill>
          </w14:textFill>
        </w:rPr>
        <w:t>个/cm</w:t>
      </w:r>
      <w:r>
        <w:rPr>
          <w:rFonts w:hint="default" w:ascii="Times New Roman" w:hAnsi="Times New Roman" w:eastAsia="宋体" w:cs="Times New Roman"/>
          <w:color w:val="000000" w:themeColor="text1"/>
          <w:sz w:val="24"/>
          <w:szCs w:val="22"/>
          <w:highlight w:val="none"/>
          <w:vertAlign w:val="superscript"/>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2"/>
          <w:highlight w:val="none"/>
          <w:lang w:val="en-US" w:eastAsia="zh-CN"/>
          <w14:textFill>
            <w14:solidFill>
              <w14:schemeClr w14:val="tx1"/>
            </w14:solidFill>
          </w14:textFill>
        </w:rPr>
        <w:t>，比表面积非常高</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，在投入使用前要进行封闭处理，这样才能提高其耐蚀性。本项目使用封闭剂为无镍封闭剂，主要成分为氟锆酸钾。铝件通过可移动式吊架吊放入封闭</w:t>
      </w:r>
      <w:r>
        <w:rPr>
          <w:rFonts w:hint="default" w:ascii="Times New Roman" w:hAnsi="Times New Roman" w:eastAsia="宋体" w:cs="Times New Roman"/>
          <w:color w:val="000000" w:themeColor="text1"/>
          <w:sz w:val="24"/>
          <w:highlight w:val="none"/>
          <w14:textFill>
            <w14:solidFill>
              <w14:schemeClr w14:val="tx1"/>
            </w14:solidFill>
          </w14:textFill>
        </w:rPr>
        <w:t>槽</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内</w:t>
      </w:r>
      <w:r>
        <w:rPr>
          <w:rFonts w:hint="default" w:ascii="Times New Roman" w:hAnsi="Times New Roman" w:eastAsia="宋体" w:cs="Times New Roman"/>
          <w:color w:val="000000" w:themeColor="text1"/>
          <w:sz w:val="24"/>
          <w:highlight w:val="none"/>
          <w14:textFill>
            <w14:solidFill>
              <w14:schemeClr w14:val="tx1"/>
            </w14:solidFill>
          </w14:textFill>
        </w:rPr>
        <w:t>，</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封闭时间为10min，pH值为4.5~5.5之间，温度为室温。封闭原理为氟锆酸钾在膜孔中水解生成Zr（OH）</w:t>
      </w:r>
      <w:r>
        <w:rPr>
          <w:rFonts w:hint="default" w:ascii="Times New Roman" w:hAnsi="Times New Roman" w:eastAsia="宋体" w:cs="Times New Roman"/>
          <w:color w:val="000000" w:themeColor="text1"/>
          <w:sz w:val="24"/>
          <w:highlight w:val="none"/>
          <w:vertAlign w:val="subscript"/>
          <w:lang w:val="en-US" w:eastAsia="zh-CN"/>
          <w14:textFill>
            <w14:solidFill>
              <w14:schemeClr w14:val="tx1"/>
            </w14:solidFill>
          </w14:textFill>
        </w:rPr>
        <w:t>4</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、ZrO（OH）</w:t>
      </w:r>
      <w:r>
        <w:rPr>
          <w:rFonts w:hint="default" w:ascii="Times New Roman" w:hAnsi="Times New Roman" w:eastAsia="宋体" w:cs="Times New Roman"/>
          <w:color w:val="000000" w:themeColor="text1"/>
          <w:sz w:val="24"/>
          <w:highlight w:val="none"/>
          <w:vertAlign w:val="subscript"/>
          <w:lang w:val="en-US" w:eastAsia="zh-CN"/>
          <w14:textFill>
            <w14:solidFill>
              <w14:schemeClr w14:val="tx1"/>
            </w14:solidFill>
          </w14:textFill>
        </w:rPr>
        <w:t>2</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、Al</w:t>
      </w:r>
      <w:r>
        <w:rPr>
          <w:rFonts w:hint="default" w:ascii="Times New Roman" w:hAnsi="Times New Roman" w:eastAsia="宋体" w:cs="Times New Roman"/>
          <w:color w:val="000000" w:themeColor="text1"/>
          <w:sz w:val="24"/>
          <w:highlight w:val="none"/>
          <w:vertAlign w:val="subscript"/>
          <w:lang w:val="en-US" w:eastAsia="zh-CN"/>
          <w14:textFill>
            <w14:solidFill>
              <w14:schemeClr w14:val="tx1"/>
            </w14:solidFill>
          </w14:textFill>
        </w:rPr>
        <w:t>3</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（OH）</w:t>
      </w:r>
      <w:r>
        <w:rPr>
          <w:rFonts w:hint="default" w:ascii="Times New Roman" w:hAnsi="Times New Roman" w:eastAsia="宋体" w:cs="Times New Roman"/>
          <w:color w:val="000000" w:themeColor="text1"/>
          <w:sz w:val="24"/>
          <w:highlight w:val="none"/>
          <w:vertAlign w:val="subscript"/>
          <w:lang w:val="en-US" w:eastAsia="zh-CN"/>
          <w14:textFill>
            <w14:solidFill>
              <w14:schemeClr w14:val="tx1"/>
            </w14:solidFill>
          </w14:textFill>
        </w:rPr>
        <w:t>3</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F</w:t>
      </w:r>
      <w:r>
        <w:rPr>
          <w:rFonts w:hint="default" w:ascii="Times New Roman" w:hAnsi="Times New Roman" w:eastAsia="宋体" w:cs="Times New Roman"/>
          <w:color w:val="000000" w:themeColor="text1"/>
          <w:sz w:val="24"/>
          <w:highlight w:val="none"/>
          <w:vertAlign w:val="subscript"/>
          <w:lang w:val="en-US" w:eastAsia="zh-CN"/>
          <w14:textFill>
            <w14:solidFill>
              <w14:schemeClr w14:val="tx1"/>
            </w14:solidFill>
          </w14:textFill>
        </w:rPr>
        <w:t>6</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沉淀而沉积在孔内。封闭</w:t>
      </w:r>
      <w:r>
        <w:rPr>
          <w:rFonts w:hint="default" w:ascii="Times New Roman" w:hAnsi="Times New Roman" w:eastAsia="宋体" w:cs="Times New Roman"/>
          <w:color w:val="000000" w:themeColor="text1"/>
          <w:sz w:val="24"/>
          <w:highlight w:val="none"/>
          <w14:textFill>
            <w14:solidFill>
              <w14:schemeClr w14:val="tx1"/>
            </w14:solidFill>
          </w14:textFill>
        </w:rPr>
        <w:t>工艺设置</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封闭</w:t>
      </w:r>
      <w:r>
        <w:rPr>
          <w:rFonts w:hint="default" w:ascii="Times New Roman" w:hAnsi="Times New Roman" w:eastAsia="宋体" w:cs="Times New Roman"/>
          <w:color w:val="000000" w:themeColor="text1"/>
          <w:sz w:val="24"/>
          <w:highlight w:val="none"/>
          <w14:textFill>
            <w14:solidFill>
              <w14:schemeClr w14:val="tx1"/>
            </w14:solidFill>
          </w14:textFill>
        </w:rPr>
        <w:t>槽</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1</w:t>
      </w:r>
      <w:r>
        <w:rPr>
          <w:rFonts w:hint="default" w:ascii="Times New Roman" w:hAnsi="Times New Roman" w:eastAsia="宋体" w:cs="Times New Roman"/>
          <w:color w:val="000000" w:themeColor="text1"/>
          <w:sz w:val="24"/>
          <w:highlight w:val="none"/>
          <w14:textFill>
            <w14:solidFill>
              <w14:schemeClr w14:val="tx1"/>
            </w14:solidFill>
          </w14:textFill>
        </w:rPr>
        <w:t>个，</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封闭槽尺寸为长2.0m*宽0.6m*高1.5m（液深1.2m）</w:t>
      </w:r>
      <w:r>
        <w:rPr>
          <w:rFonts w:hint="default" w:ascii="Times New Roman" w:hAnsi="Times New Roman" w:eastAsia="宋体" w:cs="Times New Roman"/>
          <w:color w:val="000000" w:themeColor="text1"/>
          <w:sz w:val="24"/>
          <w:highlight w:val="none"/>
          <w14:textFill>
            <w14:solidFill>
              <w14:schemeClr w14:val="tx1"/>
            </w14:solidFill>
          </w14:textFill>
        </w:rPr>
        <w:t>，</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封闭槽液</w:t>
      </w:r>
      <w:r>
        <w:rPr>
          <w:rFonts w:hint="default" w:ascii="Times New Roman" w:hAnsi="Times New Roman" w:eastAsia="宋体" w:cs="Times New Roman"/>
          <w:color w:val="000000" w:themeColor="text1"/>
          <w:sz w:val="24"/>
          <w:highlight w:val="none"/>
          <w14:textFill>
            <w14:solidFill>
              <w14:schemeClr w14:val="tx1"/>
            </w14:solidFill>
          </w14:textFill>
        </w:rPr>
        <w:t>更换周期为</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3个月。</w:t>
      </w:r>
    </w:p>
    <w:p w14:paraId="482D1B25">
      <w:pPr>
        <w:numPr>
          <w:ilvl w:val="0"/>
          <w:numId w:val="0"/>
        </w:numPr>
        <w:spacing w:line="360" w:lineRule="auto"/>
        <w:ind w:firstLine="420" w:firstLineChars="20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drawing>
          <wp:inline distT="0" distB="0" distL="114300" distR="114300">
            <wp:extent cx="3637280" cy="516255"/>
            <wp:effectExtent l="0" t="0" r="1270" b="17145"/>
            <wp:docPr id="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5"/>
                    <pic:cNvPicPr>
                      <a:picLocks noChangeAspect="1"/>
                    </pic:cNvPicPr>
                  </pic:nvPicPr>
                  <pic:blipFill>
                    <a:blip r:embed="rId10"/>
                    <a:stretch>
                      <a:fillRect/>
                    </a:stretch>
                  </pic:blipFill>
                  <pic:spPr>
                    <a:xfrm>
                      <a:off x="0" y="0"/>
                      <a:ext cx="3637280" cy="516255"/>
                    </a:xfrm>
                    <a:prstGeom prst="rect">
                      <a:avLst/>
                    </a:prstGeom>
                    <a:noFill/>
                    <a:ln>
                      <a:noFill/>
                    </a:ln>
                  </pic:spPr>
                </pic:pic>
              </a:graphicData>
            </a:graphic>
          </wp:inline>
        </w:drawing>
      </w:r>
    </w:p>
    <w:p w14:paraId="5A8698FA">
      <w:pPr>
        <w:numPr>
          <w:ilvl w:val="0"/>
          <w:numId w:val="0"/>
        </w:numPr>
        <w:spacing w:line="360" w:lineRule="auto"/>
        <w:ind w:firstLine="482" w:firstLineChars="200"/>
        <w:rPr>
          <w:rFonts w:hint="default" w:ascii="Times New Roman" w:hAnsi="Times New Roman" w:eastAsia="宋体" w:cs="Times New Roman"/>
          <w:color w:val="000000" w:themeColor="text1"/>
          <w:sz w:val="24"/>
          <w:szCs w:val="22"/>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本工段的产污环节主要</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为：废封闭槽液（W</w:t>
      </w:r>
      <w:r>
        <w:rPr>
          <w:rFonts w:hint="default" w:ascii="Times New Roman" w:hAnsi="Times New Roman" w:eastAsia="宋体" w:cs="Times New Roman"/>
          <w:b/>
          <w:bCs/>
          <w:color w:val="auto"/>
          <w:sz w:val="24"/>
          <w:szCs w:val="24"/>
          <w:highlight w:val="none"/>
          <w:lang w:val="en-US" w:eastAsia="zh-CN"/>
        </w:rPr>
        <w:t>4）、废原料包装（S</w:t>
      </w:r>
      <w:r>
        <w:rPr>
          <w:rFonts w:hint="eastAsia" w:ascii="Times New Roman" w:hAnsi="Times New Roman" w:eastAsia="宋体" w:cs="Times New Roman"/>
          <w:b/>
          <w:bCs/>
          <w:color w:val="auto"/>
          <w:sz w:val="24"/>
          <w:szCs w:val="24"/>
          <w:highlight w:val="none"/>
          <w:lang w:val="en-US" w:eastAsia="zh-CN"/>
        </w:rPr>
        <w:t>4</w:t>
      </w:r>
      <w:r>
        <w:rPr>
          <w:rFonts w:hint="default" w:ascii="Times New Roman" w:hAnsi="Times New Roman" w:eastAsia="宋体" w:cs="Times New Roman"/>
          <w:b/>
          <w:bCs/>
          <w:color w:val="auto"/>
          <w:sz w:val="24"/>
          <w:szCs w:val="24"/>
          <w:highlight w:val="none"/>
          <w:lang w:val="en-US" w:eastAsia="zh-CN"/>
        </w:rPr>
        <w:t>）、废槽渣（S1</w:t>
      </w:r>
      <w:r>
        <w:rPr>
          <w:rFonts w:hint="eastAsia" w:ascii="Times New Roman" w:hAnsi="Times New Roman" w:eastAsia="宋体" w:cs="Times New Roman"/>
          <w:b/>
          <w:bCs/>
          <w:color w:val="auto"/>
          <w:sz w:val="24"/>
          <w:szCs w:val="24"/>
          <w:highlight w:val="none"/>
          <w:lang w:val="en-US" w:eastAsia="zh-CN"/>
        </w:rPr>
        <w:t>0</w:t>
      </w:r>
      <w:r>
        <w:rPr>
          <w:rFonts w:hint="default" w:ascii="Times New Roman" w:hAnsi="Times New Roman" w:eastAsia="宋体" w:cs="Times New Roman"/>
          <w:b/>
          <w:bCs/>
          <w:color w:val="auto"/>
          <w:sz w:val="24"/>
          <w:szCs w:val="24"/>
          <w:highlight w:val="none"/>
          <w:lang w:val="en-US" w:eastAsia="zh-CN"/>
        </w:rPr>
        <w:t>）</w:t>
      </w:r>
      <w:r>
        <w:rPr>
          <w:rFonts w:hint="eastAsia" w:ascii="Times New Roman" w:hAnsi="Times New Roman" w:eastAsia="宋体" w:cs="Times New Roman"/>
          <w:b/>
          <w:bCs/>
          <w:color w:val="auto"/>
          <w:sz w:val="24"/>
          <w:szCs w:val="24"/>
          <w:highlight w:val="none"/>
          <w:lang w:val="en-US" w:eastAsia="zh-CN"/>
        </w:rPr>
        <w:t>，</w:t>
      </w:r>
      <w:r>
        <w:rPr>
          <w:rFonts w:hint="default" w:ascii="Times New Roman" w:hAnsi="Times New Roman" w:eastAsia="宋体" w:cs="Times New Roman"/>
          <w:b/>
          <w:bCs/>
          <w:color w:val="auto"/>
          <w:sz w:val="24"/>
          <w:szCs w:val="24"/>
          <w:highlight w:val="none"/>
          <w:lang w:val="en-US" w:eastAsia="zh-CN"/>
        </w:rPr>
        <w:t>不合格产品（S1</w:t>
      </w:r>
      <w:r>
        <w:rPr>
          <w:rFonts w:hint="eastAsia" w:ascii="Times New Roman" w:hAnsi="Times New Roman" w:eastAsia="宋体" w:cs="Times New Roman"/>
          <w:b/>
          <w:bCs/>
          <w:color w:val="auto"/>
          <w:sz w:val="24"/>
          <w:szCs w:val="24"/>
          <w:highlight w:val="none"/>
          <w:lang w:val="en-US" w:eastAsia="zh-CN"/>
        </w:rPr>
        <w:t>1</w:t>
      </w:r>
      <w:r>
        <w:rPr>
          <w:rFonts w:hint="default" w:ascii="Times New Roman" w:hAnsi="Times New Roman" w:eastAsia="宋体" w:cs="Times New Roman"/>
          <w:b/>
          <w:bCs/>
          <w:color w:val="auto"/>
          <w:sz w:val="24"/>
          <w:szCs w:val="24"/>
          <w:highlight w:val="none"/>
          <w:lang w:val="en-US" w:eastAsia="zh-CN"/>
        </w:rPr>
        <w:t>）。</w:t>
      </w:r>
    </w:p>
    <w:p w14:paraId="2071A581">
      <w:pPr>
        <w:pStyle w:val="13"/>
        <w:keepNext w:val="0"/>
        <w:keepLines w:val="0"/>
        <w:pageBreakBefore w:val="0"/>
        <w:widowControl/>
        <w:kinsoku/>
        <w:wordWrap/>
        <w:overflowPunct/>
        <w:topLinePunct w:val="0"/>
        <w:autoSpaceDE/>
        <w:autoSpaceDN/>
        <w:bidi w:val="0"/>
        <w:adjustRightInd/>
        <w:snapToGrid/>
        <w:spacing w:after="0" w:line="360" w:lineRule="auto"/>
        <w:ind w:firstLine="480" w:firstLineChars="200"/>
        <w:jc w:val="left"/>
        <w:textAlignment w:val="auto"/>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8</w:t>
      </w:r>
      <w:r>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、水洗⑤：封闭后进一步清洗工件表面。水洗工艺设置纯水槽1个</w:t>
      </w:r>
      <w:r>
        <w:rPr>
          <w:rFonts w:hint="default" w:ascii="Times New Roman" w:hAnsi="Times New Roman" w:eastAsia="宋体" w:cs="Times New Roman"/>
          <w:color w:val="auto"/>
          <w:kern w:val="2"/>
          <w:sz w:val="24"/>
          <w:szCs w:val="22"/>
          <w:highlight w:val="none"/>
          <w:lang w:val="en-US" w:eastAsia="zh-CN" w:bidi="ar-SA"/>
        </w:rPr>
        <w:t>（水洗槽⑤）</w:t>
      </w:r>
      <w:r>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，水洗槽尺寸为长2.0m*宽0.6m*高1.5m（液深1.2m），清洗水更换周期为1个月，浸泡时间为5min，清洗温度为室温。</w:t>
      </w:r>
    </w:p>
    <w:p w14:paraId="4BE90975">
      <w:pPr>
        <w:numPr>
          <w:ilvl w:val="0"/>
          <w:numId w:val="0"/>
        </w:numPr>
        <w:spacing w:line="360" w:lineRule="auto"/>
        <w:ind w:firstLine="482" w:firstLineChars="200"/>
        <w:jc w:val="left"/>
        <w:rPr>
          <w:rFonts w:hint="default" w:ascii="Times New Roman" w:hAnsi="Times New Roman" w:eastAsia="宋体" w:cs="Times New Roman"/>
          <w:color w:val="000000" w:themeColor="text1"/>
          <w:sz w:val="24"/>
          <w:szCs w:val="22"/>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本工段的产污环节主要</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为：清洗废水（W2）。</w:t>
      </w:r>
    </w:p>
    <w:p w14:paraId="2FBB9450">
      <w:pPr>
        <w:pStyle w:val="13"/>
        <w:keepNext w:val="0"/>
        <w:keepLines w:val="0"/>
        <w:pageBreakBefore w:val="0"/>
        <w:widowControl/>
        <w:kinsoku/>
        <w:wordWrap/>
        <w:overflowPunct/>
        <w:topLinePunct w:val="0"/>
        <w:autoSpaceDE/>
        <w:autoSpaceDN/>
        <w:bidi w:val="0"/>
        <w:adjustRightInd/>
        <w:snapToGrid/>
        <w:spacing w:after="0" w:line="360" w:lineRule="auto"/>
        <w:ind w:firstLine="480" w:firstLineChars="200"/>
        <w:jc w:val="left"/>
        <w:textAlignment w:val="auto"/>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9</w:t>
      </w:r>
      <w:r>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、晾干：人工使用可移动式吊架将清洗后的铝件转移至阳极氧化生产线东侧晾干区，自然晾干。</w:t>
      </w:r>
    </w:p>
    <w:p w14:paraId="16651C7E">
      <w:pPr>
        <w:pStyle w:val="13"/>
        <w:keepNext w:val="0"/>
        <w:keepLines w:val="0"/>
        <w:pageBreakBefore w:val="0"/>
        <w:widowControl/>
        <w:kinsoku/>
        <w:wordWrap/>
        <w:overflowPunct/>
        <w:topLinePunct w:val="0"/>
        <w:autoSpaceDE/>
        <w:autoSpaceDN/>
        <w:bidi w:val="0"/>
        <w:adjustRightInd/>
        <w:snapToGrid/>
        <w:spacing w:after="0" w:line="360" w:lineRule="auto"/>
        <w:ind w:firstLine="480" w:firstLineChars="200"/>
        <w:jc w:val="left"/>
        <w:textAlignment w:val="auto"/>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1</w:t>
      </w:r>
      <w:r>
        <w:rPr>
          <w:rFonts w:hint="eastAsia"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0</w:t>
      </w:r>
      <w:r>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、组装：人工对各种金属零部件进行组装，放入成品仓库内暂存。</w:t>
      </w:r>
    </w:p>
    <w:p w14:paraId="4A1EAB8A">
      <w:pPr>
        <w:numPr>
          <w:ilvl w:val="0"/>
          <w:numId w:val="0"/>
        </w:numPr>
        <w:spacing w:line="360" w:lineRule="auto"/>
        <w:ind w:firstLine="482" w:firstLineChars="200"/>
        <w:jc w:val="left"/>
        <w:rPr>
          <w:rFonts w:hint="default" w:ascii="Times New Roman" w:hAnsi="Times New Roman" w:eastAsia="宋体" w:cs="Times New Roman"/>
          <w:color w:val="000000" w:themeColor="text1"/>
          <w:sz w:val="24"/>
          <w:szCs w:val="22"/>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本工段的产污环节主要</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为：零件碰撞噪声（N）。</w:t>
      </w:r>
    </w:p>
    <w:p w14:paraId="252D4873">
      <w:pPr>
        <w:pStyle w:val="7"/>
        <w:spacing w:line="360" w:lineRule="auto"/>
        <w:ind w:firstLine="482" w:firstLineChars="200"/>
        <w:jc w:val="left"/>
        <w:rPr>
          <w:rFonts w:hint="default" w:ascii="Times New Roman" w:hAnsi="Times New Roman" w:eastAsia="宋体" w:cs="Times New Roman"/>
          <w:b/>
          <w:bCs w:val="0"/>
          <w:color w:val="000000" w:themeColor="text1"/>
          <w:highlight w:val="none"/>
          <w:lang w:val="en-US" w:eastAsia="zh-CN"/>
          <w14:textFill>
            <w14:solidFill>
              <w14:schemeClr w14:val="tx1"/>
            </w14:solidFill>
          </w14:textFill>
        </w:rPr>
      </w:pPr>
      <w:r>
        <w:rPr>
          <w:rFonts w:hint="default" w:ascii="Times New Roman" w:hAnsi="Times New Roman" w:eastAsia="宋体" w:cs="Times New Roman"/>
          <w:b/>
          <w:bCs w:val="0"/>
          <w:color w:val="000000" w:themeColor="text1"/>
          <w:highlight w:val="none"/>
          <w:lang w:val="en-US" w:eastAsia="zh-CN"/>
          <w14:textFill>
            <w14:solidFill>
              <w14:schemeClr w14:val="tx1"/>
            </w14:solidFill>
          </w14:textFill>
        </w:rPr>
        <w:t>纯水制备</w:t>
      </w:r>
      <w:r>
        <w:rPr>
          <w:rFonts w:hint="eastAsia" w:ascii="Times New Roman" w:hAnsi="Times New Roman" w:eastAsia="宋体" w:cs="Times New Roman"/>
          <w:b/>
          <w:bCs w:val="0"/>
          <w:color w:val="000000" w:themeColor="text1"/>
          <w:highlight w:val="none"/>
          <w:lang w:val="en-US" w:eastAsia="zh-CN"/>
          <w14:textFill>
            <w14:solidFill>
              <w14:schemeClr w14:val="tx1"/>
            </w14:solidFill>
          </w14:textFill>
        </w:rPr>
        <w:t>生产工艺：</w:t>
      </w:r>
    </w:p>
    <w:p w14:paraId="6165F9C7">
      <w:pPr>
        <w:pStyle w:val="13"/>
        <w:keepNext w:val="0"/>
        <w:keepLines w:val="0"/>
        <w:pageBreakBefore w:val="0"/>
        <w:widowControl/>
        <w:kinsoku/>
        <w:wordWrap/>
        <w:overflowPunct/>
        <w:topLinePunct w:val="0"/>
        <w:autoSpaceDE/>
        <w:autoSpaceDN/>
        <w:bidi w:val="0"/>
        <w:adjustRightInd/>
        <w:snapToGrid/>
        <w:spacing w:after="0" w:line="360" w:lineRule="auto"/>
        <w:ind w:firstLine="480" w:firstLineChars="200"/>
        <w:jc w:val="left"/>
        <w:textAlignment w:val="auto"/>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本项目纯水的制备能力为0.5t/h，根据设计资料制备效率约为80%，纯水制备设备工艺如下：</w:t>
      </w:r>
    </w:p>
    <w:p w14:paraId="55C5F242">
      <w:pPr>
        <w:pStyle w:val="13"/>
        <w:keepNext w:val="0"/>
        <w:keepLines w:val="0"/>
        <w:pageBreakBefore w:val="0"/>
        <w:widowControl/>
        <w:kinsoku/>
        <w:wordWrap/>
        <w:overflowPunct/>
        <w:topLinePunct w:val="0"/>
        <w:autoSpaceDE/>
        <w:autoSpaceDN/>
        <w:bidi w:val="0"/>
        <w:adjustRightInd/>
        <w:snapToGrid/>
        <w:spacing w:after="0" w:line="360" w:lineRule="auto"/>
        <w:ind w:firstLine="1680" w:firstLineChars="700"/>
        <w:jc w:val="left"/>
        <w:textAlignment w:val="auto"/>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原水（自来水）→ 活性炭过→砂滤→RO膜→纯水</w:t>
      </w:r>
    </w:p>
    <w:p w14:paraId="50D7A5D8">
      <w:pPr>
        <w:numPr>
          <w:ilvl w:val="0"/>
          <w:numId w:val="0"/>
        </w:numPr>
        <w:spacing w:line="360" w:lineRule="auto"/>
        <w:ind w:firstLine="482" w:firstLineChars="200"/>
        <w:jc w:val="left"/>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本工段的产污环节主要</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为：纯水制备尾水（W5）、纯水制备设备废活性炭（S12）、纯水制备设备废树脂膜（S13）。</w:t>
      </w:r>
    </w:p>
    <w:p w14:paraId="71455326">
      <w:pPr>
        <w:pStyle w:val="7"/>
        <w:spacing w:line="360" w:lineRule="auto"/>
        <w:ind w:firstLine="482" w:firstLineChars="200"/>
        <w:jc w:val="left"/>
        <w:rPr>
          <w:rFonts w:hint="default" w:ascii="Times New Roman" w:hAnsi="Times New Roman" w:eastAsia="宋体" w:cs="Times New Roman"/>
          <w:b/>
          <w:bCs w:val="0"/>
          <w:color w:val="000000" w:themeColor="text1"/>
          <w:highlight w:val="none"/>
          <w:lang w:val="en-US" w:eastAsia="zh-CN"/>
          <w14:textFill>
            <w14:solidFill>
              <w14:schemeClr w14:val="tx1"/>
            </w14:solidFill>
          </w14:textFill>
        </w:rPr>
      </w:pPr>
      <w:r>
        <w:rPr>
          <w:rFonts w:hint="default" w:ascii="Times New Roman" w:hAnsi="Times New Roman" w:eastAsia="宋体" w:cs="Times New Roman"/>
          <w:b/>
          <w:bCs w:val="0"/>
          <w:color w:val="000000" w:themeColor="text1"/>
          <w:highlight w:val="none"/>
          <w:lang w:val="en-US" w:eastAsia="zh-CN"/>
          <w14:textFill>
            <w14:solidFill>
              <w14:schemeClr w14:val="tx1"/>
            </w14:solidFill>
          </w14:textFill>
        </w:rPr>
        <w:t>污水处理</w:t>
      </w:r>
    </w:p>
    <w:p w14:paraId="690CA296">
      <w:pPr>
        <w:spacing w:line="360" w:lineRule="auto"/>
        <w:ind w:firstLine="480" w:firstLineChars="200"/>
        <w:rPr>
          <w:rFonts w:hint="default" w:ascii="Times New Roman" w:hAnsi="Times New Roman" w:eastAsia="宋体" w:cs="Times New Roman"/>
          <w:color w:val="000000" w:themeColor="text1"/>
          <w:sz w:val="24"/>
          <w:szCs w:val="24"/>
          <w:highlight w:val="none"/>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为保证产品质量达标，项目阳极氧化生产线上槽体废水更换周期为一个月或三个月（具体详见表3</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-6</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因此同一时间点生产线上每个槽体的槽液可能出现同时或不同时排入污水处理站处理的情况，需设置调节池调节水量，防止对污水处理站造成冲击，考虑阳极氧化生产线所有槽体有效容积和生产线最大排水（所有槽体废水同时进入调节池）情</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况，调节池设计大小为20m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vertAlign w:val="baseline"/>
          <w:lang w:val="en-US" w:eastAsia="zh-CN"/>
          <w14:textFill>
            <w14:solidFill>
              <w14:schemeClr w14:val="tx1"/>
            </w14:solidFill>
          </w14:textFill>
        </w:rPr>
        <w:t>。</w:t>
      </w:r>
    </w:p>
    <w:p w14:paraId="38C0E4E3">
      <w:pPr>
        <w:spacing w:line="360" w:lineRule="auto"/>
        <w:ind w:firstLine="480" w:firstLineChars="200"/>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项目污水处理站采取间歇性运转模式，每4天运转1次，单次运转1小时，污水处理站设计处理能力为5m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/h，年可处理污水约315m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/a，本项目需处理废水量</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为</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175.625</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/a</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，设计污水处理站能力能够满足本项目处理需求；废槽液最短产生周期为1个月，期间污水处理站可处理污水量为35m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，处理能力大于调节池储存能力，设计污水处理站能力能够满足本项目处理需求。</w:t>
      </w:r>
    </w:p>
    <w:p w14:paraId="3A68F0CD">
      <w:pPr>
        <w:spacing w:line="360" w:lineRule="auto"/>
        <w:ind w:firstLine="480" w:firstLineChars="200"/>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根据项目废水污染物产生情况，确定本项目废水处理工艺为</w:t>
      </w:r>
      <w:r>
        <w:rPr>
          <w:rFonts w:hint="default" w:ascii="Times New Roman" w:hAnsi="Times New Roman" w:eastAsia="宋体" w:cs="Times New Roman"/>
          <w:color w:val="000000" w:themeColor="text1"/>
          <w:kern w:val="0"/>
          <w:sz w:val="24"/>
          <w:szCs w:val="24"/>
          <w:highlight w:val="none"/>
          <w:lang w:eastAsia="zh-CN"/>
          <w14:textFill>
            <w14:solidFill>
              <w14:schemeClr w14:val="tx1"/>
            </w14:solidFill>
          </w14:textFill>
        </w:rPr>
        <w:t>“调节池酸碱调节+混凝沉淀+高效气浮+超滤+精密过滤+砂滤+超滤+反渗透”</w:t>
      </w:r>
      <w:r>
        <w:rPr>
          <w:rFonts w:hint="default" w:ascii="Times New Roman" w:hAnsi="Times New Roman" w:eastAsia="宋体" w:cs="Times New Roman"/>
          <w:color w:val="000000" w:themeColor="text1"/>
          <w:kern w:val="2"/>
          <w:sz w:val="24"/>
          <w:szCs w:val="22"/>
          <w:highlight w:val="none"/>
          <w:lang w:val="en-US" w:eastAsia="zh-CN" w:bidi="ar-SA"/>
          <w14:textFill>
            <w14:solidFill>
              <w14:schemeClr w14:val="tx1"/>
            </w14:solidFill>
          </w14:textFill>
        </w:rPr>
        <w:t>。</w:t>
      </w:r>
    </w:p>
    <w:p w14:paraId="65D2E485">
      <w:pPr>
        <w:widowControl w:val="0"/>
        <w:autoSpaceDE w:val="0"/>
        <w:autoSpaceDN w:val="0"/>
        <w:adjustRightInd w:val="0"/>
        <w:spacing w:line="360" w:lineRule="auto"/>
        <w:jc w:val="center"/>
        <w:rPr>
          <w:rFonts w:ascii="Times New Roman" w:hAnsi="Times New Roman"/>
          <w:color w:val="000000" w:themeColor="text1"/>
          <w:kern w:val="0"/>
          <w:sz w:val="24"/>
          <w:szCs w:val="24"/>
          <w:highlight w:val="none"/>
          <w14:textFill>
            <w14:solidFill>
              <w14:schemeClr w14:val="tx1"/>
            </w14:solidFill>
          </w14:textFill>
        </w:rPr>
      </w:pPr>
      <w:r>
        <w:rPr>
          <w:rFonts w:ascii="Times New Roman" w:hAnsi="Times New Roman"/>
          <w:color w:val="000000" w:themeColor="text1"/>
          <w:kern w:val="0"/>
          <w:sz w:val="24"/>
          <w:szCs w:val="24"/>
          <w:highlight w:val="none"/>
          <w14:textFill>
            <w14:solidFill>
              <w14:schemeClr w14:val="tx1"/>
            </w14:solidFill>
          </w14:textFill>
        </w:rPr>
        <w:object>
          <v:shape id="_x0000_i1027" o:spt="75" type="#_x0000_t75" style="height:318.1pt;width:327.15pt;" o:ole="t" filled="f" o:preferrelative="t" stroked="f" coordsize="21600,21600">
            <v:path/>
            <v:fill on="f" focussize="0,0"/>
            <v:stroke on="f"/>
            <v:imagedata r:id="rId12" o:title=""/>
            <o:lock v:ext="edit" aspectratio="f"/>
            <w10:wrap type="none"/>
            <w10:anchorlock/>
          </v:shape>
          <o:OLEObject Type="Embed" ProgID="Visio.Drawing.15" ShapeID="_x0000_i1027" DrawAspect="Content" ObjectID="_1468075727" r:id="rId11">
            <o:LockedField>false</o:LockedField>
          </o:OLEObject>
        </w:object>
      </w:r>
    </w:p>
    <w:p w14:paraId="02784C99">
      <w:pPr>
        <w:pStyle w:val="13"/>
        <w:keepNext w:val="0"/>
        <w:keepLines w:val="0"/>
        <w:pageBreakBefore w:val="0"/>
        <w:widowControl/>
        <w:kinsoku/>
        <w:wordWrap/>
        <w:overflowPunct/>
        <w:topLinePunct w:val="0"/>
        <w:autoSpaceDE/>
        <w:autoSpaceDN/>
        <w:bidi w:val="0"/>
        <w:adjustRightInd/>
        <w:snapToGrid/>
        <w:spacing w:after="0" w:line="360" w:lineRule="auto"/>
        <w:ind w:firstLine="482" w:firstLineChars="200"/>
        <w:jc w:val="center"/>
        <w:textAlignment w:val="auto"/>
        <w:rPr>
          <w:rFonts w:hint="eastAsia" w:ascii="Times New Roman" w:hAnsi="Times New Roman" w:cs="Times New Roman"/>
          <w:color w:val="000000" w:themeColor="text1"/>
          <w:kern w:val="2"/>
          <w:sz w:val="24"/>
          <w:szCs w:val="24"/>
          <w:highlight w:val="none"/>
          <w:lang w:val="en-US" w:eastAsia="zh-CN" w:bidi="ar-SA"/>
          <w14:textFill>
            <w14:solidFill>
              <w14:schemeClr w14:val="tx1"/>
            </w14:solidFill>
          </w14:textFill>
        </w:rPr>
      </w:pPr>
      <w:r>
        <w:rPr>
          <w:rFonts w:ascii="Times New Roman" w:hAnsi="Times New Roman"/>
          <w:b/>
          <w:color w:val="000000" w:themeColor="text1"/>
          <w:sz w:val="24"/>
          <w:szCs w:val="24"/>
          <w:highlight w:val="none"/>
          <w14:textFill>
            <w14:solidFill>
              <w14:schemeClr w14:val="tx1"/>
            </w14:solidFill>
          </w14:textFill>
        </w:rPr>
        <w:t>图</w:t>
      </w:r>
      <w:r>
        <w:rPr>
          <w:rFonts w:hint="eastAsia" w:ascii="Times New Roman" w:hAnsi="Times New Roman"/>
          <w:b/>
          <w:color w:val="000000" w:themeColor="text1"/>
          <w:sz w:val="24"/>
          <w:szCs w:val="24"/>
          <w:highlight w:val="none"/>
          <w:lang w:val="en-US" w:eastAsia="zh-CN"/>
          <w14:textFill>
            <w14:solidFill>
              <w14:schemeClr w14:val="tx1"/>
            </w14:solidFill>
          </w14:textFill>
        </w:rPr>
        <w:t>3-2</w:t>
      </w:r>
      <w:r>
        <w:rPr>
          <w:rFonts w:ascii="Times New Roman" w:hAnsi="Times New Roman"/>
          <w:b/>
          <w:color w:val="000000" w:themeColor="text1"/>
          <w:sz w:val="24"/>
          <w:szCs w:val="24"/>
          <w:highlight w:val="none"/>
          <w14:textFill>
            <w14:solidFill>
              <w14:schemeClr w14:val="tx1"/>
            </w14:solidFill>
          </w14:textFill>
        </w:rPr>
        <w:t xml:space="preserve">  废水处理工艺流程图</w:t>
      </w:r>
    </w:p>
    <w:p w14:paraId="1EA10A46">
      <w:pPr>
        <w:numPr>
          <w:ilvl w:val="0"/>
          <w:numId w:val="0"/>
        </w:numPr>
        <w:spacing w:line="360" w:lineRule="auto"/>
        <w:ind w:firstLine="482" w:firstLineChars="200"/>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本工段的产污环节主要</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为：废原料包装（S4）、污水处理站污泥（S14）、污水处理站废滤膜（S15）、污水处理站废滤芯（S16）、污水处理站隔油池废油（S17）、污水处理站反渗透浓排水（S18）、噪声（N）。</w:t>
      </w:r>
    </w:p>
    <w:p w14:paraId="06D10199">
      <w:pPr>
        <w:pStyle w:val="13"/>
        <w:keepNext w:val="0"/>
        <w:keepLines w:val="0"/>
        <w:pageBreakBefore w:val="0"/>
        <w:widowControl/>
        <w:kinsoku/>
        <w:wordWrap/>
        <w:overflowPunct/>
        <w:topLinePunct w:val="0"/>
        <w:autoSpaceDE/>
        <w:autoSpaceDN/>
        <w:bidi w:val="0"/>
        <w:adjustRightInd/>
        <w:snapToGrid/>
        <w:spacing w:after="0" w:line="360" w:lineRule="auto"/>
        <w:ind w:firstLine="480" w:firstLineChars="200"/>
        <w:jc w:val="both"/>
        <w:textAlignment w:val="auto"/>
        <w:rPr>
          <w:rFonts w:hint="eastAsia" w:ascii="Times New Roman" w:hAnsi="Times New Roman" w:cs="Times New Roman"/>
          <w:color w:val="000000" w:themeColor="text1"/>
          <w:kern w:val="2"/>
          <w:sz w:val="24"/>
          <w:szCs w:val="22"/>
          <w:highlight w:val="none"/>
          <w:lang w:val="en-US" w:eastAsia="zh-CN" w:bidi="ar-SA"/>
          <w14:textFill>
            <w14:solidFill>
              <w14:schemeClr w14:val="tx1"/>
            </w14:solidFill>
          </w14:textFill>
        </w:rPr>
      </w:pPr>
      <w:r>
        <w:rPr>
          <w:rFonts w:hint="eastAsia" w:ascii="Times New Roman" w:hAnsi="Times New Roman" w:cs="Times New Roman"/>
          <w:color w:val="000000" w:themeColor="text1"/>
          <w:kern w:val="2"/>
          <w:sz w:val="24"/>
          <w:szCs w:val="22"/>
          <w:highlight w:val="none"/>
          <w:lang w:val="en-US" w:eastAsia="zh-CN" w:bidi="ar-SA"/>
          <w14:textFill>
            <w14:solidFill>
              <w14:schemeClr w14:val="tx1"/>
            </w14:solidFill>
          </w14:textFill>
        </w:rPr>
        <w:t>详细工艺流程及排污节点见图3-3。</w:t>
      </w:r>
    </w:p>
    <w:p w14:paraId="75E88523">
      <w:pPr>
        <w:widowControl w:val="0"/>
        <w:ind w:right="105" w:rightChars="50"/>
        <w:jc w:val="center"/>
        <w:rPr>
          <w:rFonts w:ascii="Times New Roman" w:hAnsi="Times New Roman"/>
          <w:b/>
          <w:color w:val="000000" w:themeColor="text1"/>
          <w:sz w:val="24"/>
          <w:szCs w:val="24"/>
          <w:highlight w:val="none"/>
          <w14:textFill>
            <w14:solidFill>
              <w14:schemeClr w14:val="tx1"/>
            </w14:solidFill>
          </w14:textFill>
        </w:rPr>
      </w:pPr>
      <w:r>
        <w:rPr>
          <w:rFonts w:ascii="Times New Roman" w:hAnsi="Times New Roman"/>
          <w:b/>
          <w:color w:val="000000" w:themeColor="text1"/>
          <w:sz w:val="24"/>
          <w:szCs w:val="24"/>
          <w:highlight w:val="none"/>
          <w14:textFill>
            <w14:solidFill>
              <w14:schemeClr w14:val="tx1"/>
            </w14:solidFill>
          </w14:textFill>
        </w:rPr>
        <w:object>
          <v:shape id="_x0000_i1028" o:spt="75" type="#_x0000_t75" style="height:466.05pt;width:278.7pt;" o:ole="t" filled="f" o:preferrelative="t" stroked="f" coordsize="21600,21600">
            <v:path/>
            <v:fill on="f" focussize="0,0"/>
            <v:stroke on="f"/>
            <v:imagedata r:id="rId14" cropbottom="5734f" o:title=""/>
            <o:lock v:ext="edit" aspectratio="f"/>
            <w10:wrap type="none"/>
            <w10:anchorlock/>
          </v:shape>
          <o:OLEObject Type="Embed" ProgID="Visio.Drawing.15" ShapeID="_x0000_i1028" DrawAspect="Content" ObjectID="_1468075728" r:id="rId13">
            <o:LockedField>false</o:LockedField>
          </o:OLEObject>
        </w:object>
      </w:r>
    </w:p>
    <w:p w14:paraId="22768FC8">
      <w:pPr>
        <w:widowControl w:val="0"/>
        <w:spacing w:line="240" w:lineRule="auto"/>
        <w:ind w:firstLine="420" w:firstLineChars="200"/>
        <w:jc w:val="both"/>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注：W1-废脱脂槽液、W2-清洗废水、W3-废阳极氧化槽液、W4-废封闭槽液；G1-抛光废气、G2-阳极氧化槽及配置槽液过程产生的硫酸雾；S1-切割废边角料、S2-切割废金属屑、S3-废抛光砂轮、S4-废原料包装、S5-废润滑油、S6-废润滑油桶、S7-除尘灰、S8-槽内油泥、S9-化学品包装瓶/桶、S10-废槽渣、S11-不合格产品、S20-废布袋；N-噪声。</w:t>
      </w:r>
    </w:p>
    <w:p w14:paraId="2844FBA4">
      <w:pPr>
        <w:pStyle w:val="13"/>
        <w:keepNext w:val="0"/>
        <w:keepLines w:val="0"/>
        <w:pageBreakBefore w:val="0"/>
        <w:widowControl/>
        <w:kinsoku/>
        <w:wordWrap/>
        <w:overflowPunct/>
        <w:topLinePunct w:val="0"/>
        <w:autoSpaceDE/>
        <w:autoSpaceDN/>
        <w:bidi w:val="0"/>
        <w:adjustRightInd/>
        <w:snapToGrid/>
        <w:spacing w:after="0" w:line="360" w:lineRule="auto"/>
        <w:ind w:firstLine="482" w:firstLineChars="200"/>
        <w:jc w:val="center"/>
        <w:textAlignment w:val="auto"/>
        <w:rPr>
          <w:rFonts w:ascii="Times New Roman" w:hAnsi="Times New Roman"/>
          <w:b/>
          <w:color w:val="000000" w:themeColor="text1"/>
          <w:sz w:val="24"/>
          <w:szCs w:val="24"/>
          <w:highlight w:val="none"/>
          <w14:textFill>
            <w14:solidFill>
              <w14:schemeClr w14:val="tx1"/>
            </w14:solidFill>
          </w14:textFill>
        </w:rPr>
      </w:pPr>
      <w:r>
        <w:rPr>
          <w:rFonts w:hint="eastAsia" w:ascii="Times New Roman" w:hAnsi="Times New Roman"/>
          <w:b/>
          <w:color w:val="000000" w:themeColor="text1"/>
          <w:sz w:val="24"/>
          <w:szCs w:val="24"/>
          <w:highlight w:val="none"/>
          <w14:textFill>
            <w14:solidFill>
              <w14:schemeClr w14:val="tx1"/>
            </w14:solidFill>
          </w14:textFill>
        </w:rPr>
        <w:t>图3</w:t>
      </w:r>
      <w:r>
        <w:rPr>
          <w:rFonts w:hint="eastAsia" w:ascii="Times New Roman" w:hAnsi="Times New Roman"/>
          <w:b/>
          <w:color w:val="000000" w:themeColor="text1"/>
          <w:sz w:val="24"/>
          <w:szCs w:val="24"/>
          <w:highlight w:val="none"/>
          <w:lang w:val="en-US" w:eastAsia="zh-CN"/>
          <w14:textFill>
            <w14:solidFill>
              <w14:schemeClr w14:val="tx1"/>
            </w14:solidFill>
          </w14:textFill>
        </w:rPr>
        <w:t>-3</w:t>
      </w:r>
      <w:r>
        <w:rPr>
          <w:rFonts w:hint="eastAsia" w:ascii="Times New Roman" w:hAnsi="Times New Roman"/>
          <w:b/>
          <w:color w:val="000000" w:themeColor="text1"/>
          <w:sz w:val="24"/>
          <w:szCs w:val="24"/>
          <w:highlight w:val="none"/>
          <w14:textFill>
            <w14:solidFill>
              <w14:schemeClr w14:val="tx1"/>
            </w14:solidFill>
          </w14:textFill>
        </w:rPr>
        <w:t xml:space="preserve"> </w:t>
      </w:r>
      <w:r>
        <w:rPr>
          <w:rFonts w:hint="eastAsia" w:ascii="Times New Roman" w:hAnsi="Times New Roman"/>
          <w:b/>
          <w:color w:val="000000" w:themeColor="text1"/>
          <w:sz w:val="24"/>
          <w:szCs w:val="24"/>
          <w:highlight w:val="none"/>
          <w:lang w:val="en-US" w:eastAsia="zh-CN"/>
          <w14:textFill>
            <w14:solidFill>
              <w14:schemeClr w14:val="tx1"/>
            </w14:solidFill>
          </w14:textFill>
        </w:rPr>
        <w:t>羊肉片机</w:t>
      </w:r>
      <w:r>
        <w:rPr>
          <w:rFonts w:hint="eastAsia" w:ascii="Times New Roman" w:hAnsi="Times New Roman"/>
          <w:b/>
          <w:color w:val="000000" w:themeColor="text1"/>
          <w:sz w:val="24"/>
          <w:szCs w:val="24"/>
          <w:highlight w:val="none"/>
          <w14:textFill>
            <w14:solidFill>
              <w14:schemeClr w14:val="tx1"/>
            </w14:solidFill>
          </w14:textFill>
        </w:rPr>
        <w:t>工艺流程及排污节点图</w:t>
      </w:r>
    </w:p>
    <w:p w14:paraId="59973B2C">
      <w:pPr>
        <w:pStyle w:val="13"/>
        <w:keepNext w:val="0"/>
        <w:keepLines w:val="0"/>
        <w:pageBreakBefore w:val="0"/>
        <w:widowControl/>
        <w:kinsoku/>
        <w:wordWrap/>
        <w:overflowPunct/>
        <w:topLinePunct w:val="0"/>
        <w:autoSpaceDE/>
        <w:autoSpaceDN/>
        <w:bidi w:val="0"/>
        <w:adjustRightInd/>
        <w:snapToGrid/>
        <w:spacing w:after="0" w:line="360" w:lineRule="auto"/>
        <w:ind w:firstLine="482" w:firstLineChars="200"/>
        <w:jc w:val="center"/>
        <w:textAlignment w:val="auto"/>
        <w:rPr>
          <w:rFonts w:hint="eastAsia" w:ascii="Times New Roman" w:hAnsi="Times New Roman"/>
          <w:b/>
          <w:color w:val="000000" w:themeColor="text1"/>
          <w:sz w:val="24"/>
          <w:szCs w:val="24"/>
          <w:highlight w:val="none"/>
          <w14:textFill>
            <w14:solidFill>
              <w14:schemeClr w14:val="tx1"/>
            </w14:solidFill>
          </w14:textFill>
        </w:rPr>
      </w:pPr>
      <w:r>
        <w:rPr>
          <w:rFonts w:hint="eastAsia" w:ascii="Times New Roman" w:hAnsi="Times New Roman"/>
          <w:b/>
          <w:color w:val="000000" w:themeColor="text1"/>
          <w:sz w:val="24"/>
          <w:szCs w:val="24"/>
          <w:highlight w:val="none"/>
          <w14:textFill>
            <w14:solidFill>
              <w14:schemeClr w14:val="tx1"/>
            </w14:solidFill>
          </w14:textFill>
        </w:rPr>
        <w:t>表3</w:t>
      </w:r>
      <w:r>
        <w:rPr>
          <w:rFonts w:hint="eastAsia" w:ascii="Times New Roman" w:hAnsi="Times New Roman"/>
          <w:b/>
          <w:color w:val="000000" w:themeColor="text1"/>
          <w:sz w:val="24"/>
          <w:szCs w:val="24"/>
          <w:highlight w:val="none"/>
          <w:lang w:val="en-US" w:eastAsia="zh-CN"/>
          <w14:textFill>
            <w14:solidFill>
              <w14:schemeClr w14:val="tx1"/>
            </w14:solidFill>
          </w14:textFill>
        </w:rPr>
        <w:t>-7</w:t>
      </w:r>
      <w:r>
        <w:rPr>
          <w:rFonts w:hint="eastAsia" w:ascii="Times New Roman" w:hAnsi="Times New Roman"/>
          <w:b/>
          <w:color w:val="000000" w:themeColor="text1"/>
          <w:sz w:val="24"/>
          <w:szCs w:val="24"/>
          <w:highlight w:val="none"/>
          <w14:textFill>
            <w14:solidFill>
              <w14:schemeClr w14:val="tx1"/>
            </w14:solidFill>
          </w14:textFill>
        </w:rPr>
        <w:t xml:space="preserve"> </w:t>
      </w:r>
      <w:r>
        <w:rPr>
          <w:rFonts w:hint="eastAsia" w:ascii="Times New Roman" w:hAnsi="Times New Roman"/>
          <w:b/>
          <w:color w:val="000000" w:themeColor="text1"/>
          <w:sz w:val="24"/>
          <w:szCs w:val="24"/>
          <w:highlight w:val="none"/>
          <w:lang w:val="en-US" w:eastAsia="zh-CN"/>
          <w14:textFill>
            <w14:solidFill>
              <w14:schemeClr w14:val="tx1"/>
            </w14:solidFill>
          </w14:textFill>
        </w:rPr>
        <w:t>羊肉片机</w:t>
      </w:r>
      <w:r>
        <w:rPr>
          <w:rFonts w:hint="eastAsia" w:ascii="Times New Roman" w:hAnsi="Times New Roman"/>
          <w:b/>
          <w:color w:val="000000" w:themeColor="text1"/>
          <w:sz w:val="24"/>
          <w:szCs w:val="24"/>
          <w:highlight w:val="none"/>
          <w14:textFill>
            <w14:solidFill>
              <w14:schemeClr w14:val="tx1"/>
            </w14:solidFill>
          </w14:textFill>
        </w:rPr>
        <w:t>生产排污节点一览表</w:t>
      </w:r>
    </w:p>
    <w:tbl>
      <w:tblPr>
        <w:tblStyle w:val="3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
        <w:gridCol w:w="682"/>
        <w:gridCol w:w="1643"/>
        <w:gridCol w:w="1708"/>
        <w:gridCol w:w="656"/>
        <w:gridCol w:w="1171"/>
        <w:gridCol w:w="2149"/>
      </w:tblGrid>
      <w:tr w14:paraId="4BA94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99" w:type="pct"/>
            <w:tcBorders>
              <w:top w:val="single" w:color="auto" w:sz="4" w:space="0"/>
              <w:left w:val="single" w:color="auto" w:sz="4" w:space="0"/>
              <w:bottom w:val="single" w:color="auto" w:sz="4" w:space="0"/>
              <w:right w:val="single" w:color="auto" w:sz="4" w:space="0"/>
            </w:tcBorders>
            <w:vAlign w:val="center"/>
          </w:tcPr>
          <w:p w14:paraId="27F17ED8">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类型</w:t>
            </w:r>
          </w:p>
        </w:tc>
        <w:tc>
          <w:tcPr>
            <w:tcW w:w="400" w:type="pct"/>
            <w:tcBorders>
              <w:top w:val="single" w:color="auto" w:sz="4" w:space="0"/>
              <w:left w:val="single" w:color="auto" w:sz="4" w:space="0"/>
              <w:bottom w:val="single" w:color="auto" w:sz="4" w:space="0"/>
              <w:right w:val="single" w:color="auto" w:sz="4" w:space="0"/>
            </w:tcBorders>
            <w:vAlign w:val="center"/>
          </w:tcPr>
          <w:p w14:paraId="75A93A11">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序号</w:t>
            </w:r>
          </w:p>
        </w:tc>
        <w:tc>
          <w:tcPr>
            <w:tcW w:w="964" w:type="pct"/>
            <w:tcBorders>
              <w:top w:val="single" w:color="auto" w:sz="4" w:space="0"/>
              <w:left w:val="single" w:color="auto" w:sz="4" w:space="0"/>
              <w:bottom w:val="single" w:color="auto" w:sz="4" w:space="0"/>
              <w:right w:val="single" w:color="auto" w:sz="4" w:space="0"/>
            </w:tcBorders>
            <w:vAlign w:val="center"/>
          </w:tcPr>
          <w:p w14:paraId="6CAFB7A0">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排污节点</w:t>
            </w:r>
          </w:p>
        </w:tc>
        <w:tc>
          <w:tcPr>
            <w:tcW w:w="1002" w:type="pct"/>
            <w:tcBorders>
              <w:top w:val="single" w:color="auto" w:sz="4" w:space="0"/>
              <w:left w:val="single" w:color="auto" w:sz="4" w:space="0"/>
              <w:bottom w:val="single" w:color="auto" w:sz="4" w:space="0"/>
              <w:right w:val="single" w:color="auto" w:sz="4" w:space="0"/>
            </w:tcBorders>
            <w:vAlign w:val="center"/>
          </w:tcPr>
          <w:p w14:paraId="18B0015B">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主要污染物</w:t>
            </w:r>
          </w:p>
        </w:tc>
        <w:tc>
          <w:tcPr>
            <w:tcW w:w="385" w:type="pct"/>
            <w:tcBorders>
              <w:top w:val="single" w:color="auto" w:sz="4" w:space="0"/>
              <w:left w:val="single" w:color="auto" w:sz="4" w:space="0"/>
              <w:bottom w:val="single" w:color="auto" w:sz="4" w:space="0"/>
              <w:right w:val="single" w:color="auto" w:sz="4" w:space="0"/>
            </w:tcBorders>
            <w:vAlign w:val="center"/>
          </w:tcPr>
          <w:p w14:paraId="2CF432E8">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产生特征</w:t>
            </w:r>
          </w:p>
        </w:tc>
        <w:tc>
          <w:tcPr>
            <w:tcW w:w="1948" w:type="pct"/>
            <w:gridSpan w:val="2"/>
            <w:tcBorders>
              <w:top w:val="single" w:color="auto" w:sz="4" w:space="0"/>
              <w:left w:val="single" w:color="auto" w:sz="4" w:space="0"/>
              <w:bottom w:val="single" w:color="auto" w:sz="4" w:space="0"/>
              <w:right w:val="single" w:color="auto" w:sz="4" w:space="0"/>
            </w:tcBorders>
            <w:vAlign w:val="center"/>
          </w:tcPr>
          <w:p w14:paraId="66A2DA8D">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治理措施</w:t>
            </w:r>
          </w:p>
        </w:tc>
      </w:tr>
      <w:tr w14:paraId="5E695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99" w:type="pct"/>
            <w:vMerge w:val="restart"/>
            <w:tcBorders>
              <w:left w:val="single" w:color="auto" w:sz="4" w:space="0"/>
              <w:right w:val="single" w:color="auto" w:sz="4" w:space="0"/>
            </w:tcBorders>
            <w:vAlign w:val="center"/>
          </w:tcPr>
          <w:p w14:paraId="1ABF20C9">
            <w:pPr>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废气</w:t>
            </w:r>
          </w:p>
        </w:tc>
        <w:tc>
          <w:tcPr>
            <w:tcW w:w="400" w:type="pct"/>
            <w:tcBorders>
              <w:top w:val="single" w:color="auto" w:sz="4" w:space="0"/>
              <w:left w:val="single" w:color="auto" w:sz="4" w:space="0"/>
              <w:bottom w:val="single" w:color="auto" w:sz="4" w:space="0"/>
              <w:right w:val="single" w:color="auto" w:sz="4" w:space="0"/>
            </w:tcBorders>
            <w:vAlign w:val="center"/>
          </w:tcPr>
          <w:p w14:paraId="650D0CC5">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G</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w:t>
            </w:r>
          </w:p>
        </w:tc>
        <w:tc>
          <w:tcPr>
            <w:tcW w:w="964" w:type="pct"/>
            <w:tcBorders>
              <w:top w:val="single" w:color="auto" w:sz="4" w:space="0"/>
              <w:left w:val="single" w:color="auto" w:sz="4" w:space="0"/>
              <w:right w:val="single" w:color="auto" w:sz="4" w:space="0"/>
            </w:tcBorders>
            <w:vAlign w:val="center"/>
          </w:tcPr>
          <w:p w14:paraId="215806E3">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抛光工序</w:t>
            </w:r>
          </w:p>
        </w:tc>
        <w:tc>
          <w:tcPr>
            <w:tcW w:w="1002" w:type="pct"/>
            <w:tcBorders>
              <w:top w:val="single" w:color="auto" w:sz="4" w:space="0"/>
              <w:left w:val="single" w:color="auto" w:sz="4" w:space="0"/>
              <w:bottom w:val="single" w:color="auto" w:sz="4" w:space="0"/>
              <w:right w:val="single" w:color="auto" w:sz="4" w:space="0"/>
            </w:tcBorders>
            <w:vAlign w:val="center"/>
          </w:tcPr>
          <w:p w14:paraId="0184F4C9">
            <w:pPr>
              <w:widowControl w:val="0"/>
              <w:jc w:val="center"/>
              <w:rPr>
                <w:rFonts w:hint="default" w:ascii="Times New Roman" w:hAnsi="Times New Roman" w:eastAsia="宋体" w:cs="Times New Roman"/>
                <w:color w:val="000000" w:themeColor="text1"/>
                <w:szCs w:val="20"/>
                <w:highlight w:val="none"/>
                <w14:textFill>
                  <w14:solidFill>
                    <w14:schemeClr w14:val="tx1"/>
                  </w14:solidFill>
                </w14:textFill>
              </w:rPr>
            </w:pPr>
            <w:r>
              <w:rPr>
                <w:rFonts w:hint="default" w:ascii="Times New Roman" w:hAnsi="Times New Roman" w:eastAsia="宋体" w:cs="Times New Roman"/>
                <w:color w:val="000000" w:themeColor="text1"/>
                <w:szCs w:val="20"/>
                <w:highlight w:val="none"/>
                <w14:textFill>
                  <w14:solidFill>
                    <w14:schemeClr w14:val="tx1"/>
                  </w14:solidFill>
                </w14:textFill>
              </w:rPr>
              <w:t>颗粒物</w:t>
            </w:r>
          </w:p>
        </w:tc>
        <w:tc>
          <w:tcPr>
            <w:tcW w:w="385" w:type="pct"/>
            <w:tcBorders>
              <w:top w:val="single" w:color="auto" w:sz="4" w:space="0"/>
              <w:left w:val="single" w:color="auto" w:sz="4" w:space="0"/>
              <w:bottom w:val="single" w:color="auto" w:sz="4" w:space="0"/>
              <w:right w:val="single" w:color="auto" w:sz="4" w:space="0"/>
            </w:tcBorders>
            <w:vAlign w:val="center"/>
          </w:tcPr>
          <w:p w14:paraId="2831F6A4">
            <w:pPr>
              <w:widowControl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连续</w:t>
            </w:r>
          </w:p>
        </w:tc>
        <w:tc>
          <w:tcPr>
            <w:tcW w:w="1948" w:type="pct"/>
            <w:gridSpan w:val="2"/>
            <w:tcBorders>
              <w:top w:val="single" w:color="auto" w:sz="4" w:space="0"/>
              <w:left w:val="single" w:color="auto" w:sz="4" w:space="0"/>
              <w:bottom w:val="single" w:color="auto" w:sz="4" w:space="0"/>
              <w:right w:val="single" w:color="auto" w:sz="4" w:space="0"/>
            </w:tcBorders>
            <w:vAlign w:val="center"/>
          </w:tcPr>
          <w:p w14:paraId="2F9D46FC">
            <w:pPr>
              <w:widowControl w:val="0"/>
              <w:adjustRightInd w:val="0"/>
              <w:snapToGrid w:val="0"/>
              <w:jc w:val="center"/>
              <w:rPr>
                <w:rFonts w:hint="default" w:ascii="Times New Roman" w:hAnsi="Times New Roman" w:eastAsia="宋体" w:cs="Times New Roman"/>
                <w:snapToGrid w:val="0"/>
                <w:color w:val="000000" w:themeColor="text1"/>
                <w:kern w:val="0"/>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抛光机设置落地接收式集气罩+脉冲式布袋除尘器+15m高排气筒</w:t>
            </w:r>
          </w:p>
        </w:tc>
      </w:tr>
      <w:tr w14:paraId="5DD06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99" w:type="pct"/>
            <w:vMerge w:val="continue"/>
            <w:tcBorders>
              <w:left w:val="single" w:color="auto" w:sz="4" w:space="0"/>
              <w:right w:val="single" w:color="auto" w:sz="4" w:space="0"/>
            </w:tcBorders>
            <w:vAlign w:val="center"/>
          </w:tcPr>
          <w:p w14:paraId="445DBEFE">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400" w:type="pct"/>
            <w:tcBorders>
              <w:top w:val="single" w:color="auto" w:sz="4" w:space="0"/>
              <w:left w:val="single" w:color="auto" w:sz="4" w:space="0"/>
              <w:bottom w:val="single" w:color="auto" w:sz="4" w:space="0"/>
              <w:right w:val="single" w:color="auto" w:sz="4" w:space="0"/>
            </w:tcBorders>
            <w:vAlign w:val="center"/>
          </w:tcPr>
          <w:p w14:paraId="73454D0F">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G</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2</w:t>
            </w:r>
          </w:p>
        </w:tc>
        <w:tc>
          <w:tcPr>
            <w:tcW w:w="964" w:type="pct"/>
            <w:tcBorders>
              <w:top w:val="single" w:color="auto" w:sz="4" w:space="0"/>
              <w:left w:val="single" w:color="auto" w:sz="4" w:space="0"/>
              <w:right w:val="single" w:color="auto" w:sz="4" w:space="0"/>
            </w:tcBorders>
            <w:vAlign w:val="center"/>
          </w:tcPr>
          <w:p w14:paraId="6A1CC3E1">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阳极氧化槽及槽液配置</w:t>
            </w:r>
          </w:p>
        </w:tc>
        <w:tc>
          <w:tcPr>
            <w:tcW w:w="1002" w:type="pct"/>
            <w:tcBorders>
              <w:top w:val="single" w:color="auto" w:sz="4" w:space="0"/>
              <w:left w:val="single" w:color="auto" w:sz="4" w:space="0"/>
              <w:right w:val="single" w:color="auto" w:sz="4" w:space="0"/>
            </w:tcBorders>
            <w:vAlign w:val="center"/>
          </w:tcPr>
          <w:p w14:paraId="356570C5">
            <w:pPr>
              <w:widowControl w:val="0"/>
              <w:jc w:val="center"/>
              <w:rPr>
                <w:rFonts w:hint="default" w:ascii="Times New Roman" w:hAnsi="Times New Roman" w:eastAsia="宋体" w:cs="Times New Roman"/>
                <w:color w:val="000000" w:themeColor="text1"/>
                <w:szCs w:val="20"/>
                <w:highlight w:val="none"/>
                <w:lang w:eastAsia="zh-CN"/>
                <w14:textFill>
                  <w14:solidFill>
                    <w14:schemeClr w14:val="tx1"/>
                  </w14:solidFill>
                </w14:textFill>
              </w:rPr>
            </w:pPr>
            <w:r>
              <w:rPr>
                <w:rFonts w:hint="default" w:ascii="Times New Roman" w:hAnsi="Times New Roman" w:eastAsia="宋体" w:cs="Times New Roman"/>
                <w:color w:val="000000" w:themeColor="text1"/>
                <w:szCs w:val="20"/>
                <w:highlight w:val="none"/>
                <w:lang w:val="en-US" w:eastAsia="zh-CN"/>
                <w14:textFill>
                  <w14:solidFill>
                    <w14:schemeClr w14:val="tx1"/>
                  </w14:solidFill>
                </w14:textFill>
              </w:rPr>
              <w:t>硫酸雾</w:t>
            </w:r>
          </w:p>
        </w:tc>
        <w:tc>
          <w:tcPr>
            <w:tcW w:w="385" w:type="pct"/>
            <w:tcBorders>
              <w:top w:val="single" w:color="auto" w:sz="4" w:space="0"/>
              <w:left w:val="single" w:color="auto" w:sz="4" w:space="0"/>
              <w:right w:val="single" w:color="auto" w:sz="4" w:space="0"/>
            </w:tcBorders>
            <w:vAlign w:val="center"/>
          </w:tcPr>
          <w:p w14:paraId="6D3F35C9">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间歇</w:t>
            </w:r>
          </w:p>
        </w:tc>
        <w:tc>
          <w:tcPr>
            <w:tcW w:w="1948" w:type="pct"/>
            <w:gridSpan w:val="2"/>
            <w:tcBorders>
              <w:top w:val="single" w:color="auto" w:sz="4" w:space="0"/>
              <w:left w:val="single" w:color="auto" w:sz="4" w:space="0"/>
              <w:right w:val="single" w:color="auto" w:sz="4" w:space="0"/>
            </w:tcBorders>
            <w:vAlign w:val="center"/>
          </w:tcPr>
          <w:p w14:paraId="62851AE6">
            <w:pPr>
              <w:widowControl w:val="0"/>
              <w:adjustRightInd w:val="0"/>
              <w:snapToGrid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阳极氧化</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槽设置单独生产间，三面遮挡，一面设置软帘</w:t>
            </w:r>
            <w:r>
              <w:rPr>
                <w:rFonts w:hint="default" w:ascii="Times New Roman" w:hAnsi="Times New Roman" w:eastAsia="宋体" w:cs="Times New Roman"/>
                <w:color w:val="000000" w:themeColor="text1"/>
                <w:szCs w:val="21"/>
                <w:highlight w:val="none"/>
                <w14:textFill>
                  <w14:solidFill>
                    <w14:schemeClr w14:val="tx1"/>
                  </w14:solidFill>
                </w14:textFill>
              </w:rPr>
              <w:t>，</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顶部设置集气罩，废气收集后经</w:t>
            </w:r>
            <w:r>
              <w:rPr>
                <w:rFonts w:hint="default" w:ascii="Times New Roman" w:hAnsi="Times New Roman" w:eastAsia="宋体" w:cs="Times New Roman"/>
                <w:color w:val="000000" w:themeColor="text1"/>
                <w:szCs w:val="21"/>
                <w:highlight w:val="none"/>
                <w14:textFill>
                  <w14:solidFill>
                    <w14:schemeClr w14:val="tx1"/>
                  </w14:solidFill>
                </w14:textFill>
              </w:rPr>
              <w:t>碱液喷淋塔处理，通过1根</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15</w:t>
            </w:r>
            <w:r>
              <w:rPr>
                <w:rFonts w:hint="default" w:ascii="Times New Roman" w:hAnsi="Times New Roman" w:eastAsia="宋体" w:cs="Times New Roman"/>
                <w:color w:val="000000" w:themeColor="text1"/>
                <w:szCs w:val="21"/>
                <w:highlight w:val="none"/>
                <w14:textFill>
                  <w14:solidFill>
                    <w14:schemeClr w14:val="tx1"/>
                  </w14:solidFill>
                </w14:textFill>
              </w:rPr>
              <w:t>m高的排气筒排放</w:t>
            </w:r>
          </w:p>
        </w:tc>
      </w:tr>
      <w:tr w14:paraId="02F29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299" w:type="pct"/>
            <w:vMerge w:val="restart"/>
            <w:tcBorders>
              <w:left w:val="single" w:color="auto" w:sz="4" w:space="0"/>
              <w:right w:val="single" w:color="auto" w:sz="4" w:space="0"/>
            </w:tcBorders>
            <w:vAlign w:val="center"/>
          </w:tcPr>
          <w:p w14:paraId="75781380">
            <w:pPr>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废水</w:t>
            </w:r>
          </w:p>
        </w:tc>
        <w:tc>
          <w:tcPr>
            <w:tcW w:w="400" w:type="pct"/>
            <w:tcBorders>
              <w:top w:val="single" w:color="auto" w:sz="4" w:space="0"/>
              <w:left w:val="single" w:color="auto" w:sz="4" w:space="0"/>
              <w:bottom w:val="single" w:color="auto" w:sz="4" w:space="0"/>
              <w:right w:val="single" w:color="auto" w:sz="4" w:space="0"/>
            </w:tcBorders>
            <w:vAlign w:val="center"/>
          </w:tcPr>
          <w:p w14:paraId="17B232BF">
            <w:pPr>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W</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w:t>
            </w:r>
          </w:p>
        </w:tc>
        <w:tc>
          <w:tcPr>
            <w:tcW w:w="964" w:type="pct"/>
            <w:tcBorders>
              <w:left w:val="single" w:color="auto" w:sz="4" w:space="0"/>
              <w:right w:val="single" w:color="auto" w:sz="4" w:space="0"/>
            </w:tcBorders>
            <w:vAlign w:val="center"/>
          </w:tcPr>
          <w:p w14:paraId="70B59D78">
            <w:pPr>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废脱脂槽液</w:t>
            </w:r>
          </w:p>
        </w:tc>
        <w:tc>
          <w:tcPr>
            <w:tcW w:w="1002" w:type="pct"/>
            <w:tcBorders>
              <w:left w:val="single" w:color="auto" w:sz="4" w:space="0"/>
              <w:right w:val="single" w:color="auto" w:sz="4" w:space="0"/>
            </w:tcBorders>
            <w:vAlign w:val="center"/>
          </w:tcPr>
          <w:p w14:paraId="1CBAD589">
            <w:pPr>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SS</w:t>
            </w:r>
          </w:p>
        </w:tc>
        <w:tc>
          <w:tcPr>
            <w:tcW w:w="385" w:type="pct"/>
            <w:tcBorders>
              <w:top w:val="single" w:color="auto" w:sz="4" w:space="0"/>
              <w:left w:val="single" w:color="auto" w:sz="4" w:space="0"/>
              <w:bottom w:val="single" w:color="auto" w:sz="4" w:space="0"/>
              <w:right w:val="single" w:color="auto" w:sz="4" w:space="0"/>
            </w:tcBorders>
            <w:vAlign w:val="center"/>
          </w:tcPr>
          <w:p w14:paraId="1B5DEFD8">
            <w:pPr>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间歇</w:t>
            </w:r>
          </w:p>
        </w:tc>
        <w:tc>
          <w:tcPr>
            <w:tcW w:w="1948" w:type="pct"/>
            <w:gridSpan w:val="2"/>
            <w:vMerge w:val="restart"/>
            <w:tcBorders>
              <w:top w:val="single" w:color="auto" w:sz="4" w:space="0"/>
              <w:left w:val="single" w:color="auto" w:sz="4" w:space="0"/>
              <w:right w:val="single" w:color="auto" w:sz="4" w:space="0"/>
            </w:tcBorders>
            <w:vAlign w:val="center"/>
          </w:tcPr>
          <w:p w14:paraId="7D847032">
            <w:pPr>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18"/>
                <w:highlight w:val="none"/>
                <w:lang w:val="en-US" w:eastAsia="zh-CN"/>
                <w14:textFill>
                  <w14:solidFill>
                    <w14:schemeClr w14:val="tx1"/>
                  </w14:solidFill>
                </w14:textFill>
              </w:rPr>
              <w:t>收集后经</w:t>
            </w:r>
            <w:r>
              <w:rPr>
                <w:rFonts w:hint="default" w:ascii="Times New Roman" w:hAnsi="Times New Roman" w:eastAsia="宋体" w:cs="Times New Roman"/>
                <w:color w:val="000000" w:themeColor="text1"/>
                <w:szCs w:val="18"/>
                <w:highlight w:val="none"/>
                <w14:textFill>
                  <w14:solidFill>
                    <w14:schemeClr w14:val="tx1"/>
                  </w14:solidFill>
                </w14:textFill>
              </w:rPr>
              <w:t>厂区污水处理站处理</w:t>
            </w:r>
            <w:r>
              <w:rPr>
                <w:rFonts w:hint="default" w:ascii="Times New Roman" w:hAnsi="Times New Roman" w:eastAsia="宋体" w:cs="Times New Roman"/>
                <w:color w:val="000000" w:themeColor="text1"/>
                <w:szCs w:val="18"/>
                <w:highlight w:val="none"/>
                <w:lang w:eastAsia="zh-CN"/>
                <w14:textFill>
                  <w14:solidFill>
                    <w14:schemeClr w14:val="tx1"/>
                  </w14:solidFill>
                </w14:textFill>
              </w:rPr>
              <w:t>，</w:t>
            </w:r>
            <w:r>
              <w:rPr>
                <w:rFonts w:hint="default" w:ascii="Times New Roman" w:hAnsi="Times New Roman" w:eastAsia="宋体" w:cs="Times New Roman"/>
                <w:color w:val="000000" w:themeColor="text1"/>
                <w:szCs w:val="18"/>
                <w:highlight w:val="none"/>
                <w:lang w:val="en-US" w:eastAsia="zh-CN"/>
                <w14:textFill>
                  <w14:solidFill>
                    <w14:schemeClr w14:val="tx1"/>
                  </w14:solidFill>
                </w14:textFill>
              </w:rPr>
              <w:t>回用于阳极氧化生产线循环使用</w:t>
            </w:r>
            <w:r>
              <w:rPr>
                <w:rFonts w:hint="default" w:ascii="Times New Roman" w:hAnsi="Times New Roman" w:eastAsia="宋体" w:cs="Times New Roman"/>
                <w:color w:val="000000" w:themeColor="text1"/>
                <w:szCs w:val="18"/>
                <w:highlight w:val="none"/>
                <w:lang w:eastAsia="zh-CN"/>
                <w14:textFill>
                  <w14:solidFill>
                    <w14:schemeClr w14:val="tx1"/>
                  </w14:solidFill>
                </w14:textFill>
              </w:rPr>
              <w:t>；</w:t>
            </w:r>
            <w:r>
              <w:rPr>
                <w:rFonts w:hint="default" w:ascii="Times New Roman" w:hAnsi="Times New Roman" w:eastAsia="宋体" w:cs="Times New Roman"/>
                <w:color w:val="000000" w:themeColor="text1"/>
                <w:szCs w:val="18"/>
                <w:highlight w:val="none"/>
                <w:lang w:val="en-US" w:eastAsia="zh-CN"/>
                <w14:textFill>
                  <w14:solidFill>
                    <w14:schemeClr w14:val="tx1"/>
                  </w14:solidFill>
                </w14:textFill>
              </w:rPr>
              <w:t>污水处理站</w:t>
            </w:r>
            <w:r>
              <w:rPr>
                <w:rFonts w:hint="default" w:ascii="Times New Roman" w:hAnsi="Times New Roman" w:eastAsia="宋体" w:cs="Times New Roman"/>
                <w:color w:val="000000" w:themeColor="text1"/>
                <w:szCs w:val="21"/>
                <w:highlight w:val="none"/>
                <w14:textFill>
                  <w14:solidFill>
                    <w14:schemeClr w14:val="tx1"/>
                  </w14:solidFill>
                </w14:textFill>
              </w:rPr>
              <w:t>反渗透产生的浓水桶装收集后作为危废进行处理</w:t>
            </w:r>
          </w:p>
        </w:tc>
      </w:tr>
      <w:tr w14:paraId="136A5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299" w:type="pct"/>
            <w:vMerge w:val="continue"/>
            <w:tcBorders>
              <w:left w:val="single" w:color="auto" w:sz="4" w:space="0"/>
              <w:right w:val="single" w:color="auto" w:sz="4" w:space="0"/>
            </w:tcBorders>
            <w:vAlign w:val="center"/>
          </w:tcPr>
          <w:p w14:paraId="3579D463">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400" w:type="pct"/>
            <w:tcBorders>
              <w:top w:val="single" w:color="auto" w:sz="4" w:space="0"/>
              <w:left w:val="single" w:color="auto" w:sz="4" w:space="0"/>
              <w:bottom w:val="single" w:color="auto" w:sz="4" w:space="0"/>
              <w:right w:val="single" w:color="auto" w:sz="4" w:space="0"/>
            </w:tcBorders>
            <w:vAlign w:val="center"/>
          </w:tcPr>
          <w:p w14:paraId="4AC4EA2B">
            <w:pPr>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W</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2</w:t>
            </w:r>
          </w:p>
        </w:tc>
        <w:tc>
          <w:tcPr>
            <w:tcW w:w="964" w:type="pct"/>
            <w:tcBorders>
              <w:left w:val="single" w:color="auto" w:sz="4" w:space="0"/>
              <w:right w:val="single" w:color="auto" w:sz="4" w:space="0"/>
            </w:tcBorders>
            <w:vAlign w:val="center"/>
          </w:tcPr>
          <w:p w14:paraId="1637B3CB">
            <w:pPr>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清洗</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废水</w:t>
            </w:r>
          </w:p>
        </w:tc>
        <w:tc>
          <w:tcPr>
            <w:tcW w:w="1002" w:type="pct"/>
            <w:tcBorders>
              <w:left w:val="single" w:color="auto" w:sz="4" w:space="0"/>
              <w:right w:val="single" w:color="auto" w:sz="4" w:space="0"/>
            </w:tcBorders>
            <w:vAlign w:val="center"/>
          </w:tcPr>
          <w:p w14:paraId="2EB22059">
            <w:pPr>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SS</w:t>
            </w:r>
          </w:p>
        </w:tc>
        <w:tc>
          <w:tcPr>
            <w:tcW w:w="385" w:type="pct"/>
            <w:tcBorders>
              <w:top w:val="single" w:color="auto" w:sz="4" w:space="0"/>
              <w:left w:val="single" w:color="auto" w:sz="4" w:space="0"/>
              <w:bottom w:val="single" w:color="auto" w:sz="4" w:space="0"/>
              <w:right w:val="single" w:color="auto" w:sz="4" w:space="0"/>
            </w:tcBorders>
            <w:vAlign w:val="center"/>
          </w:tcPr>
          <w:p w14:paraId="6542865B">
            <w:pPr>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间歇</w:t>
            </w:r>
          </w:p>
        </w:tc>
        <w:tc>
          <w:tcPr>
            <w:tcW w:w="1948" w:type="pct"/>
            <w:gridSpan w:val="2"/>
            <w:vMerge w:val="continue"/>
            <w:tcBorders>
              <w:left w:val="single" w:color="auto" w:sz="4" w:space="0"/>
              <w:right w:val="single" w:color="auto" w:sz="4" w:space="0"/>
            </w:tcBorders>
            <w:vAlign w:val="center"/>
          </w:tcPr>
          <w:p w14:paraId="3E76BBF4">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r>
      <w:tr w14:paraId="7A3DD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299" w:type="pct"/>
            <w:vMerge w:val="continue"/>
            <w:tcBorders>
              <w:left w:val="single" w:color="auto" w:sz="4" w:space="0"/>
              <w:right w:val="single" w:color="auto" w:sz="4" w:space="0"/>
            </w:tcBorders>
            <w:vAlign w:val="center"/>
          </w:tcPr>
          <w:p w14:paraId="3AF599F4">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400" w:type="pct"/>
            <w:tcBorders>
              <w:top w:val="single" w:color="auto" w:sz="4" w:space="0"/>
              <w:left w:val="single" w:color="auto" w:sz="4" w:space="0"/>
              <w:bottom w:val="single" w:color="auto" w:sz="4" w:space="0"/>
              <w:right w:val="single" w:color="auto" w:sz="4" w:space="0"/>
            </w:tcBorders>
            <w:vAlign w:val="center"/>
          </w:tcPr>
          <w:p w14:paraId="630B1AE1">
            <w:pPr>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W</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3</w:t>
            </w:r>
          </w:p>
        </w:tc>
        <w:tc>
          <w:tcPr>
            <w:tcW w:w="964" w:type="pct"/>
            <w:tcBorders>
              <w:left w:val="single" w:color="auto" w:sz="4" w:space="0"/>
              <w:right w:val="single" w:color="auto" w:sz="4" w:space="0"/>
            </w:tcBorders>
            <w:vAlign w:val="center"/>
          </w:tcPr>
          <w:p w14:paraId="0BC8EEBA">
            <w:pPr>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阳极氧化槽液</w:t>
            </w:r>
          </w:p>
        </w:tc>
        <w:tc>
          <w:tcPr>
            <w:tcW w:w="1002" w:type="pct"/>
            <w:tcBorders>
              <w:left w:val="single" w:color="auto" w:sz="4" w:space="0"/>
              <w:right w:val="single" w:color="auto" w:sz="4" w:space="0"/>
            </w:tcBorders>
            <w:vAlign w:val="center"/>
          </w:tcPr>
          <w:p w14:paraId="184707AE">
            <w:pPr>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SS</w:t>
            </w:r>
          </w:p>
        </w:tc>
        <w:tc>
          <w:tcPr>
            <w:tcW w:w="385" w:type="pct"/>
            <w:tcBorders>
              <w:top w:val="single" w:color="auto" w:sz="4" w:space="0"/>
              <w:left w:val="single" w:color="auto" w:sz="4" w:space="0"/>
              <w:bottom w:val="single" w:color="auto" w:sz="4" w:space="0"/>
              <w:right w:val="single" w:color="auto" w:sz="4" w:space="0"/>
            </w:tcBorders>
            <w:vAlign w:val="center"/>
          </w:tcPr>
          <w:p w14:paraId="499A7125">
            <w:pPr>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间歇</w:t>
            </w:r>
          </w:p>
        </w:tc>
        <w:tc>
          <w:tcPr>
            <w:tcW w:w="1948" w:type="pct"/>
            <w:gridSpan w:val="2"/>
            <w:vMerge w:val="continue"/>
            <w:tcBorders>
              <w:left w:val="single" w:color="auto" w:sz="4" w:space="0"/>
              <w:right w:val="single" w:color="auto" w:sz="4" w:space="0"/>
            </w:tcBorders>
            <w:vAlign w:val="center"/>
          </w:tcPr>
          <w:p w14:paraId="55D6B87B">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r>
      <w:tr w14:paraId="39A88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299" w:type="pct"/>
            <w:vMerge w:val="continue"/>
            <w:tcBorders>
              <w:left w:val="single" w:color="auto" w:sz="4" w:space="0"/>
              <w:right w:val="single" w:color="auto" w:sz="4" w:space="0"/>
            </w:tcBorders>
            <w:vAlign w:val="center"/>
          </w:tcPr>
          <w:p w14:paraId="3B579F63">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400" w:type="pct"/>
            <w:tcBorders>
              <w:top w:val="single" w:color="auto" w:sz="4" w:space="0"/>
              <w:left w:val="single" w:color="auto" w:sz="4" w:space="0"/>
              <w:bottom w:val="single" w:color="auto" w:sz="4" w:space="0"/>
              <w:right w:val="single" w:color="auto" w:sz="4" w:space="0"/>
            </w:tcBorders>
            <w:vAlign w:val="center"/>
          </w:tcPr>
          <w:p w14:paraId="14870865">
            <w:pPr>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W4</w:t>
            </w:r>
          </w:p>
        </w:tc>
        <w:tc>
          <w:tcPr>
            <w:tcW w:w="964" w:type="pct"/>
            <w:tcBorders>
              <w:left w:val="single" w:color="auto" w:sz="4" w:space="0"/>
              <w:right w:val="single" w:color="auto" w:sz="4" w:space="0"/>
            </w:tcBorders>
            <w:vAlign w:val="center"/>
          </w:tcPr>
          <w:p w14:paraId="23611A63">
            <w:pPr>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废封闭槽液</w:t>
            </w:r>
          </w:p>
        </w:tc>
        <w:tc>
          <w:tcPr>
            <w:tcW w:w="1002" w:type="pct"/>
            <w:tcBorders>
              <w:left w:val="single" w:color="auto" w:sz="4" w:space="0"/>
              <w:right w:val="single" w:color="auto" w:sz="4" w:space="0"/>
            </w:tcBorders>
            <w:vAlign w:val="center"/>
          </w:tcPr>
          <w:p w14:paraId="530E8798">
            <w:pPr>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SS</w:t>
            </w:r>
          </w:p>
        </w:tc>
        <w:tc>
          <w:tcPr>
            <w:tcW w:w="385" w:type="pct"/>
            <w:tcBorders>
              <w:top w:val="single" w:color="auto" w:sz="4" w:space="0"/>
              <w:left w:val="single" w:color="auto" w:sz="4" w:space="0"/>
              <w:bottom w:val="single" w:color="auto" w:sz="4" w:space="0"/>
              <w:right w:val="single" w:color="auto" w:sz="4" w:space="0"/>
            </w:tcBorders>
            <w:vAlign w:val="center"/>
          </w:tcPr>
          <w:p w14:paraId="20AED877">
            <w:pPr>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间歇</w:t>
            </w:r>
          </w:p>
        </w:tc>
        <w:tc>
          <w:tcPr>
            <w:tcW w:w="1948" w:type="pct"/>
            <w:gridSpan w:val="2"/>
            <w:vMerge w:val="continue"/>
            <w:tcBorders>
              <w:left w:val="single" w:color="auto" w:sz="4" w:space="0"/>
              <w:right w:val="single" w:color="auto" w:sz="4" w:space="0"/>
            </w:tcBorders>
            <w:vAlign w:val="center"/>
          </w:tcPr>
          <w:p w14:paraId="5562CC69">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r>
      <w:tr w14:paraId="1809D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299" w:type="pct"/>
            <w:vMerge w:val="continue"/>
            <w:tcBorders>
              <w:left w:val="single" w:color="auto" w:sz="4" w:space="0"/>
              <w:right w:val="single" w:color="auto" w:sz="4" w:space="0"/>
            </w:tcBorders>
            <w:vAlign w:val="center"/>
          </w:tcPr>
          <w:p w14:paraId="09E6FB70">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400" w:type="pct"/>
            <w:tcBorders>
              <w:top w:val="single" w:color="auto" w:sz="4" w:space="0"/>
              <w:left w:val="single" w:color="auto" w:sz="4" w:space="0"/>
              <w:bottom w:val="single" w:color="auto" w:sz="4" w:space="0"/>
              <w:right w:val="single" w:color="auto" w:sz="4" w:space="0"/>
            </w:tcBorders>
            <w:vAlign w:val="center"/>
          </w:tcPr>
          <w:p w14:paraId="3C14AC86">
            <w:pPr>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W5</w:t>
            </w:r>
          </w:p>
        </w:tc>
        <w:tc>
          <w:tcPr>
            <w:tcW w:w="964" w:type="pct"/>
            <w:tcBorders>
              <w:left w:val="single" w:color="auto" w:sz="4" w:space="0"/>
              <w:right w:val="single" w:color="auto" w:sz="4" w:space="0"/>
            </w:tcBorders>
            <w:vAlign w:val="center"/>
          </w:tcPr>
          <w:p w14:paraId="292C69A8">
            <w:pPr>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纯水制备尾水</w:t>
            </w:r>
          </w:p>
        </w:tc>
        <w:tc>
          <w:tcPr>
            <w:tcW w:w="1002" w:type="pct"/>
            <w:tcBorders>
              <w:left w:val="single" w:color="auto" w:sz="4" w:space="0"/>
              <w:right w:val="single" w:color="auto" w:sz="4" w:space="0"/>
            </w:tcBorders>
            <w:vAlign w:val="center"/>
          </w:tcPr>
          <w:p w14:paraId="59D9C167">
            <w:pPr>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SS</w:t>
            </w:r>
          </w:p>
        </w:tc>
        <w:tc>
          <w:tcPr>
            <w:tcW w:w="385" w:type="pct"/>
            <w:tcBorders>
              <w:top w:val="single" w:color="auto" w:sz="4" w:space="0"/>
              <w:left w:val="single" w:color="auto" w:sz="4" w:space="0"/>
              <w:bottom w:val="single" w:color="auto" w:sz="4" w:space="0"/>
              <w:right w:val="single" w:color="auto" w:sz="4" w:space="0"/>
            </w:tcBorders>
            <w:vAlign w:val="center"/>
          </w:tcPr>
          <w:p w14:paraId="440C6A24">
            <w:pPr>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间歇</w:t>
            </w:r>
          </w:p>
        </w:tc>
        <w:tc>
          <w:tcPr>
            <w:tcW w:w="1948" w:type="pct"/>
            <w:gridSpan w:val="2"/>
            <w:vMerge w:val="continue"/>
            <w:tcBorders>
              <w:left w:val="single" w:color="auto" w:sz="4" w:space="0"/>
              <w:right w:val="single" w:color="auto" w:sz="4" w:space="0"/>
            </w:tcBorders>
            <w:vAlign w:val="center"/>
          </w:tcPr>
          <w:p w14:paraId="761EBD8F">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r>
      <w:tr w14:paraId="5CB6C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299" w:type="pct"/>
            <w:vMerge w:val="continue"/>
            <w:tcBorders>
              <w:left w:val="single" w:color="auto" w:sz="4" w:space="0"/>
              <w:right w:val="single" w:color="auto" w:sz="4" w:space="0"/>
            </w:tcBorders>
            <w:vAlign w:val="center"/>
          </w:tcPr>
          <w:p w14:paraId="6EFA96CC">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400" w:type="pct"/>
            <w:tcBorders>
              <w:top w:val="single" w:color="auto" w:sz="4" w:space="0"/>
              <w:left w:val="single" w:color="auto" w:sz="4" w:space="0"/>
              <w:bottom w:val="single" w:color="auto" w:sz="4" w:space="0"/>
              <w:right w:val="single" w:color="auto" w:sz="4" w:space="0"/>
            </w:tcBorders>
            <w:vAlign w:val="center"/>
          </w:tcPr>
          <w:p w14:paraId="560CD1B2">
            <w:pPr>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W6</w:t>
            </w:r>
          </w:p>
        </w:tc>
        <w:tc>
          <w:tcPr>
            <w:tcW w:w="964" w:type="pct"/>
            <w:tcBorders>
              <w:left w:val="single" w:color="auto" w:sz="4" w:space="0"/>
              <w:right w:val="single" w:color="auto" w:sz="4" w:space="0"/>
            </w:tcBorders>
            <w:vAlign w:val="center"/>
          </w:tcPr>
          <w:p w14:paraId="567AB997">
            <w:pPr>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碱液喷淋塔废水</w:t>
            </w:r>
          </w:p>
        </w:tc>
        <w:tc>
          <w:tcPr>
            <w:tcW w:w="1002" w:type="pct"/>
            <w:tcBorders>
              <w:left w:val="single" w:color="auto" w:sz="4" w:space="0"/>
              <w:right w:val="single" w:color="auto" w:sz="4" w:space="0"/>
            </w:tcBorders>
            <w:vAlign w:val="center"/>
          </w:tcPr>
          <w:p w14:paraId="1CC18346">
            <w:pPr>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SS</w:t>
            </w:r>
          </w:p>
        </w:tc>
        <w:tc>
          <w:tcPr>
            <w:tcW w:w="385" w:type="pct"/>
            <w:tcBorders>
              <w:top w:val="single" w:color="auto" w:sz="4" w:space="0"/>
              <w:left w:val="single" w:color="auto" w:sz="4" w:space="0"/>
              <w:bottom w:val="single" w:color="auto" w:sz="4" w:space="0"/>
              <w:right w:val="single" w:color="auto" w:sz="4" w:space="0"/>
            </w:tcBorders>
            <w:vAlign w:val="center"/>
          </w:tcPr>
          <w:p w14:paraId="0149894B">
            <w:pPr>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间歇</w:t>
            </w:r>
          </w:p>
        </w:tc>
        <w:tc>
          <w:tcPr>
            <w:tcW w:w="1948" w:type="pct"/>
            <w:gridSpan w:val="2"/>
            <w:vMerge w:val="continue"/>
            <w:tcBorders>
              <w:left w:val="single" w:color="auto" w:sz="4" w:space="0"/>
              <w:right w:val="single" w:color="auto" w:sz="4" w:space="0"/>
            </w:tcBorders>
            <w:vAlign w:val="center"/>
          </w:tcPr>
          <w:p w14:paraId="61531198">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r>
      <w:tr w14:paraId="09AF8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299" w:type="pct"/>
            <w:tcBorders>
              <w:left w:val="single" w:color="auto" w:sz="4" w:space="0"/>
              <w:right w:val="single" w:color="auto" w:sz="4" w:space="0"/>
            </w:tcBorders>
            <w:vAlign w:val="center"/>
          </w:tcPr>
          <w:p w14:paraId="43A23499">
            <w:pPr>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噪声</w:t>
            </w:r>
          </w:p>
        </w:tc>
        <w:tc>
          <w:tcPr>
            <w:tcW w:w="400" w:type="pct"/>
            <w:tcBorders>
              <w:top w:val="single" w:color="auto" w:sz="4" w:space="0"/>
              <w:left w:val="single" w:color="auto" w:sz="4" w:space="0"/>
              <w:bottom w:val="single" w:color="auto" w:sz="4" w:space="0"/>
              <w:right w:val="single" w:color="auto" w:sz="4" w:space="0"/>
            </w:tcBorders>
            <w:vAlign w:val="center"/>
          </w:tcPr>
          <w:p w14:paraId="620921D7">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N</w:t>
            </w:r>
          </w:p>
        </w:tc>
        <w:tc>
          <w:tcPr>
            <w:tcW w:w="964" w:type="pct"/>
            <w:tcBorders>
              <w:left w:val="single" w:color="auto" w:sz="4" w:space="0"/>
              <w:right w:val="single" w:color="auto" w:sz="4" w:space="0"/>
            </w:tcBorders>
            <w:vAlign w:val="center"/>
          </w:tcPr>
          <w:p w14:paraId="56A61074">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带锯切割</w:t>
            </w:r>
            <w:r>
              <w:rPr>
                <w:rFonts w:hint="default" w:ascii="Times New Roman" w:hAnsi="Times New Roman" w:eastAsia="宋体" w:cs="Times New Roman"/>
                <w:color w:val="000000" w:themeColor="text1"/>
                <w:szCs w:val="21"/>
                <w:highlight w:val="none"/>
                <w14:textFill>
                  <w14:solidFill>
                    <w14:schemeClr w14:val="tx1"/>
                  </w14:solidFill>
                </w14:textFill>
              </w:rPr>
              <w:t>机、</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抛光机</w:t>
            </w:r>
            <w:r>
              <w:rPr>
                <w:rFonts w:hint="default" w:ascii="Times New Roman" w:hAnsi="Times New Roman" w:eastAsia="宋体" w:cs="Times New Roman"/>
                <w:color w:val="000000" w:themeColor="text1"/>
                <w:szCs w:val="21"/>
                <w:highlight w:val="none"/>
                <w14:textFill>
                  <w14:solidFill>
                    <w14:schemeClr w14:val="tx1"/>
                  </w14:solidFill>
                </w14:textFill>
              </w:rPr>
              <w:t>、</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风</w:t>
            </w:r>
            <w:r>
              <w:rPr>
                <w:rFonts w:hint="default" w:ascii="Times New Roman" w:hAnsi="Times New Roman" w:eastAsia="宋体" w:cs="Times New Roman"/>
                <w:color w:val="000000" w:themeColor="text1"/>
                <w:szCs w:val="21"/>
                <w:highlight w:val="none"/>
                <w14:textFill>
                  <w14:solidFill>
                    <w14:schemeClr w14:val="tx1"/>
                  </w14:solidFill>
                </w14:textFill>
              </w:rPr>
              <w:t>机等</w:t>
            </w:r>
          </w:p>
        </w:tc>
        <w:tc>
          <w:tcPr>
            <w:tcW w:w="1002" w:type="pct"/>
            <w:tcBorders>
              <w:left w:val="single" w:color="auto" w:sz="4" w:space="0"/>
              <w:right w:val="single" w:color="auto" w:sz="4" w:space="0"/>
            </w:tcBorders>
            <w:vAlign w:val="center"/>
          </w:tcPr>
          <w:p w14:paraId="3D6025F4">
            <w:pPr>
              <w:widowControl w:val="0"/>
              <w:jc w:val="center"/>
              <w:rPr>
                <w:rFonts w:hint="default" w:ascii="Times New Roman" w:hAnsi="Times New Roman" w:eastAsia="宋体" w:cs="Times New Roman"/>
                <w:color w:val="000000" w:themeColor="text1"/>
                <w:szCs w:val="20"/>
                <w:highlight w:val="none"/>
                <w14:textFill>
                  <w14:solidFill>
                    <w14:schemeClr w14:val="tx1"/>
                  </w14:solidFill>
                </w14:textFill>
              </w:rPr>
            </w:pPr>
            <w:r>
              <w:rPr>
                <w:rFonts w:hint="default" w:ascii="Times New Roman" w:hAnsi="Times New Roman" w:eastAsia="宋体" w:cs="Times New Roman"/>
                <w:color w:val="000000" w:themeColor="text1"/>
                <w:szCs w:val="20"/>
                <w:highlight w:val="none"/>
                <w14:textFill>
                  <w14:solidFill>
                    <w14:schemeClr w14:val="tx1"/>
                  </w14:solidFill>
                </w14:textFill>
              </w:rPr>
              <w:t>噪声</w:t>
            </w:r>
          </w:p>
        </w:tc>
        <w:tc>
          <w:tcPr>
            <w:tcW w:w="385" w:type="pct"/>
            <w:tcBorders>
              <w:top w:val="single" w:color="auto" w:sz="4" w:space="0"/>
              <w:left w:val="single" w:color="auto" w:sz="4" w:space="0"/>
              <w:bottom w:val="single" w:color="auto" w:sz="4" w:space="0"/>
              <w:right w:val="single" w:color="auto" w:sz="4" w:space="0"/>
            </w:tcBorders>
            <w:vAlign w:val="center"/>
          </w:tcPr>
          <w:p w14:paraId="278D783E">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间歇</w:t>
            </w:r>
          </w:p>
        </w:tc>
        <w:tc>
          <w:tcPr>
            <w:tcW w:w="1948" w:type="pct"/>
            <w:gridSpan w:val="2"/>
            <w:tcBorders>
              <w:top w:val="single" w:color="auto" w:sz="4" w:space="0"/>
              <w:left w:val="single" w:color="auto" w:sz="4" w:space="0"/>
              <w:bottom w:val="single" w:color="auto" w:sz="4" w:space="0"/>
              <w:right w:val="single" w:color="auto" w:sz="4" w:space="0"/>
            </w:tcBorders>
            <w:vAlign w:val="center"/>
          </w:tcPr>
          <w:p w14:paraId="0C1302CE">
            <w:pPr>
              <w:widowControl w:val="0"/>
              <w:adjustRightInd w:val="0"/>
              <w:snapToGrid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采用低噪声设备，采取厂房隔声</w:t>
            </w:r>
            <w:r>
              <w:rPr>
                <w:rFonts w:hint="default" w:ascii="Times New Roman" w:hAnsi="Times New Roman" w:eastAsia="宋体" w:cs="Times New Roman"/>
                <w:color w:val="000000" w:themeColor="text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距离衰减</w:t>
            </w:r>
            <w:r>
              <w:rPr>
                <w:rFonts w:hint="default" w:ascii="Times New Roman" w:hAnsi="Times New Roman" w:eastAsia="宋体" w:cs="Times New Roman"/>
                <w:color w:val="000000" w:themeColor="text1"/>
                <w:szCs w:val="21"/>
                <w:highlight w:val="none"/>
                <w14:textFill>
                  <w14:solidFill>
                    <w14:schemeClr w14:val="tx1"/>
                  </w14:solidFill>
                </w14:textFill>
              </w:rPr>
              <w:t>等措施</w:t>
            </w:r>
          </w:p>
        </w:tc>
      </w:tr>
      <w:tr w14:paraId="674BC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299" w:type="pct"/>
            <w:vMerge w:val="restart"/>
            <w:tcBorders>
              <w:left w:val="single" w:color="auto" w:sz="4" w:space="0"/>
              <w:right w:val="single" w:color="auto" w:sz="4" w:space="0"/>
            </w:tcBorders>
            <w:vAlign w:val="center"/>
          </w:tcPr>
          <w:p w14:paraId="32149D33">
            <w:pPr>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固废</w:t>
            </w:r>
          </w:p>
        </w:tc>
        <w:tc>
          <w:tcPr>
            <w:tcW w:w="400" w:type="pct"/>
            <w:tcBorders>
              <w:top w:val="single" w:color="auto" w:sz="4" w:space="0"/>
              <w:left w:val="single" w:color="auto" w:sz="4" w:space="0"/>
              <w:bottom w:val="single" w:color="auto" w:sz="4" w:space="0"/>
              <w:right w:val="single" w:color="auto" w:sz="4" w:space="0"/>
            </w:tcBorders>
            <w:vAlign w:val="center"/>
          </w:tcPr>
          <w:p w14:paraId="5025198C">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S1</w:t>
            </w:r>
          </w:p>
        </w:tc>
        <w:tc>
          <w:tcPr>
            <w:tcW w:w="964" w:type="pct"/>
            <w:vMerge w:val="restart"/>
            <w:tcBorders>
              <w:left w:val="single" w:color="auto" w:sz="4" w:space="0"/>
              <w:right w:val="single" w:color="auto" w:sz="4" w:space="0"/>
            </w:tcBorders>
            <w:vAlign w:val="center"/>
          </w:tcPr>
          <w:p w14:paraId="29BBB645">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切割</w:t>
            </w:r>
          </w:p>
        </w:tc>
        <w:tc>
          <w:tcPr>
            <w:tcW w:w="1002" w:type="pct"/>
            <w:tcBorders>
              <w:left w:val="single" w:color="auto" w:sz="4" w:space="0"/>
              <w:right w:val="single" w:color="auto" w:sz="4" w:space="0"/>
            </w:tcBorders>
            <w:vAlign w:val="center"/>
          </w:tcPr>
          <w:p w14:paraId="0181D229">
            <w:pPr>
              <w:widowControl w:val="0"/>
              <w:jc w:val="center"/>
              <w:rPr>
                <w:rFonts w:hint="default" w:ascii="Times New Roman" w:hAnsi="Times New Roman" w:eastAsia="宋体" w:cs="Times New Roman"/>
                <w:color w:val="000000" w:themeColor="text1"/>
                <w:szCs w:val="20"/>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切割废边角料</w:t>
            </w:r>
          </w:p>
        </w:tc>
        <w:tc>
          <w:tcPr>
            <w:tcW w:w="385" w:type="pct"/>
            <w:vMerge w:val="restart"/>
            <w:tcBorders>
              <w:top w:val="single" w:color="auto" w:sz="4" w:space="0"/>
              <w:left w:val="single" w:color="auto" w:sz="4" w:space="0"/>
              <w:right w:val="single" w:color="auto" w:sz="4" w:space="0"/>
            </w:tcBorders>
            <w:vAlign w:val="center"/>
          </w:tcPr>
          <w:p w14:paraId="4E1B3EE7">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间歇</w:t>
            </w:r>
          </w:p>
          <w:p w14:paraId="5A93CC51">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间歇</w:t>
            </w:r>
          </w:p>
        </w:tc>
        <w:tc>
          <w:tcPr>
            <w:tcW w:w="687" w:type="pct"/>
            <w:tcBorders>
              <w:top w:val="single" w:color="auto" w:sz="4" w:space="0"/>
              <w:left w:val="single" w:color="auto" w:sz="4" w:space="0"/>
              <w:right w:val="single" w:color="auto" w:sz="4" w:space="0"/>
            </w:tcBorders>
            <w:vAlign w:val="center"/>
          </w:tcPr>
          <w:p w14:paraId="01C2F028">
            <w:pPr>
              <w:widowControl w:val="0"/>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袋装收集</w:t>
            </w:r>
          </w:p>
        </w:tc>
        <w:tc>
          <w:tcPr>
            <w:tcW w:w="1261" w:type="pct"/>
            <w:vMerge w:val="restart"/>
            <w:tcBorders>
              <w:top w:val="single" w:color="auto" w:sz="4" w:space="0"/>
              <w:left w:val="single" w:color="auto" w:sz="4" w:space="0"/>
              <w:right w:val="single" w:color="auto" w:sz="4" w:space="0"/>
            </w:tcBorders>
            <w:vAlign w:val="center"/>
          </w:tcPr>
          <w:p w14:paraId="515487B5">
            <w:pPr>
              <w:widowControl w:val="0"/>
              <w:adjustRightInd w:val="0"/>
              <w:snapToGrid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集中收集后外售</w:t>
            </w:r>
          </w:p>
        </w:tc>
      </w:tr>
      <w:tr w14:paraId="33846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299" w:type="pct"/>
            <w:vMerge w:val="continue"/>
            <w:tcBorders>
              <w:left w:val="single" w:color="auto" w:sz="4" w:space="0"/>
              <w:right w:val="single" w:color="auto" w:sz="4" w:space="0"/>
            </w:tcBorders>
            <w:vAlign w:val="center"/>
          </w:tcPr>
          <w:p w14:paraId="7C263A46">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400" w:type="pct"/>
            <w:tcBorders>
              <w:top w:val="single" w:color="auto" w:sz="4" w:space="0"/>
              <w:left w:val="single" w:color="auto" w:sz="4" w:space="0"/>
              <w:bottom w:val="single" w:color="auto" w:sz="4" w:space="0"/>
              <w:right w:val="single" w:color="auto" w:sz="4" w:space="0"/>
            </w:tcBorders>
            <w:vAlign w:val="center"/>
          </w:tcPr>
          <w:p w14:paraId="69618054">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S2</w:t>
            </w:r>
          </w:p>
        </w:tc>
        <w:tc>
          <w:tcPr>
            <w:tcW w:w="964" w:type="pct"/>
            <w:vMerge w:val="continue"/>
            <w:tcBorders>
              <w:left w:val="single" w:color="auto" w:sz="4" w:space="0"/>
              <w:right w:val="single" w:color="auto" w:sz="4" w:space="0"/>
            </w:tcBorders>
            <w:vAlign w:val="center"/>
          </w:tcPr>
          <w:p w14:paraId="337B348A">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1002" w:type="pct"/>
            <w:tcBorders>
              <w:left w:val="single" w:color="auto" w:sz="4" w:space="0"/>
              <w:right w:val="single" w:color="auto" w:sz="4" w:space="0"/>
            </w:tcBorders>
            <w:vAlign w:val="center"/>
          </w:tcPr>
          <w:p w14:paraId="728C22CA">
            <w:pPr>
              <w:widowControl w:val="0"/>
              <w:jc w:val="center"/>
              <w:rPr>
                <w:rFonts w:hint="default" w:ascii="Times New Roman" w:hAnsi="Times New Roman" w:eastAsia="宋体" w:cs="Times New Roman"/>
                <w:color w:val="000000" w:themeColor="text1"/>
                <w:szCs w:val="20"/>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废金属屑</w:t>
            </w:r>
          </w:p>
        </w:tc>
        <w:tc>
          <w:tcPr>
            <w:tcW w:w="385" w:type="pct"/>
            <w:vMerge w:val="continue"/>
            <w:tcBorders>
              <w:left w:val="single" w:color="auto" w:sz="4" w:space="0"/>
              <w:right w:val="single" w:color="auto" w:sz="4" w:space="0"/>
            </w:tcBorders>
            <w:vAlign w:val="center"/>
          </w:tcPr>
          <w:p w14:paraId="2EFFA824">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687" w:type="pct"/>
            <w:tcBorders>
              <w:left w:val="single" w:color="auto" w:sz="4" w:space="0"/>
              <w:right w:val="single" w:color="auto" w:sz="4" w:space="0"/>
            </w:tcBorders>
            <w:vAlign w:val="center"/>
          </w:tcPr>
          <w:p w14:paraId="4D700D2A">
            <w:pPr>
              <w:widowControl w:val="0"/>
              <w:adjustRightInd w:val="0"/>
              <w:snapToGrid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袋装收集</w:t>
            </w:r>
          </w:p>
        </w:tc>
        <w:tc>
          <w:tcPr>
            <w:tcW w:w="1261" w:type="pct"/>
            <w:vMerge w:val="continue"/>
            <w:tcBorders>
              <w:left w:val="single" w:color="auto" w:sz="4" w:space="0"/>
              <w:right w:val="single" w:color="auto" w:sz="4" w:space="0"/>
            </w:tcBorders>
            <w:vAlign w:val="center"/>
          </w:tcPr>
          <w:p w14:paraId="7F0C8023">
            <w:pPr>
              <w:widowControl w:val="0"/>
              <w:adjustRightInd w:val="0"/>
              <w:snapToGrid w:val="0"/>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r>
      <w:tr w14:paraId="35C25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299" w:type="pct"/>
            <w:vMerge w:val="continue"/>
            <w:tcBorders>
              <w:left w:val="single" w:color="auto" w:sz="4" w:space="0"/>
              <w:right w:val="single" w:color="auto" w:sz="4" w:space="0"/>
            </w:tcBorders>
            <w:vAlign w:val="center"/>
          </w:tcPr>
          <w:p w14:paraId="475E2EAC">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400" w:type="pct"/>
            <w:tcBorders>
              <w:top w:val="single" w:color="auto" w:sz="4" w:space="0"/>
              <w:left w:val="single" w:color="auto" w:sz="4" w:space="0"/>
              <w:bottom w:val="single" w:color="auto" w:sz="4" w:space="0"/>
              <w:right w:val="single" w:color="auto" w:sz="4" w:space="0"/>
            </w:tcBorders>
            <w:vAlign w:val="center"/>
          </w:tcPr>
          <w:p w14:paraId="3264B7A8">
            <w:pPr>
              <w:widowControl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S</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3</w:t>
            </w:r>
          </w:p>
        </w:tc>
        <w:tc>
          <w:tcPr>
            <w:tcW w:w="964" w:type="pct"/>
            <w:tcBorders>
              <w:left w:val="single" w:color="auto" w:sz="4" w:space="0"/>
              <w:right w:val="single" w:color="auto" w:sz="4" w:space="0"/>
            </w:tcBorders>
            <w:vAlign w:val="center"/>
          </w:tcPr>
          <w:p w14:paraId="6B8719EA">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抛光</w:t>
            </w:r>
          </w:p>
        </w:tc>
        <w:tc>
          <w:tcPr>
            <w:tcW w:w="1002" w:type="pct"/>
            <w:tcBorders>
              <w:left w:val="single" w:color="auto" w:sz="4" w:space="0"/>
              <w:right w:val="single" w:color="auto" w:sz="4" w:space="0"/>
            </w:tcBorders>
            <w:vAlign w:val="center"/>
          </w:tcPr>
          <w:p w14:paraId="21BE1C8E">
            <w:pPr>
              <w:widowControl w:val="0"/>
              <w:jc w:val="center"/>
              <w:rPr>
                <w:rFonts w:hint="default" w:ascii="Times New Roman" w:hAnsi="Times New Roman" w:eastAsia="宋体" w:cs="Times New Roman"/>
                <w:color w:val="000000" w:themeColor="text1"/>
                <w:szCs w:val="20"/>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废抛光砂轮</w:t>
            </w:r>
          </w:p>
        </w:tc>
        <w:tc>
          <w:tcPr>
            <w:tcW w:w="385" w:type="pct"/>
            <w:vMerge w:val="continue"/>
            <w:tcBorders>
              <w:left w:val="single" w:color="auto" w:sz="4" w:space="0"/>
              <w:right w:val="single" w:color="auto" w:sz="4" w:space="0"/>
            </w:tcBorders>
            <w:vAlign w:val="center"/>
          </w:tcPr>
          <w:p w14:paraId="36FC8AAD">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687" w:type="pct"/>
            <w:tcBorders>
              <w:left w:val="single" w:color="auto" w:sz="4" w:space="0"/>
              <w:right w:val="single" w:color="auto" w:sz="4" w:space="0"/>
            </w:tcBorders>
            <w:vAlign w:val="center"/>
          </w:tcPr>
          <w:p w14:paraId="0934CE92">
            <w:pPr>
              <w:widowControl w:val="0"/>
              <w:adjustRightInd w:val="0"/>
              <w:snapToGrid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袋装收集</w:t>
            </w:r>
          </w:p>
        </w:tc>
        <w:tc>
          <w:tcPr>
            <w:tcW w:w="1261" w:type="pct"/>
            <w:vMerge w:val="continue"/>
            <w:tcBorders>
              <w:left w:val="single" w:color="auto" w:sz="4" w:space="0"/>
              <w:right w:val="single" w:color="auto" w:sz="4" w:space="0"/>
            </w:tcBorders>
            <w:vAlign w:val="center"/>
          </w:tcPr>
          <w:p w14:paraId="43DE5EEF">
            <w:pPr>
              <w:widowControl w:val="0"/>
              <w:adjustRightInd w:val="0"/>
              <w:snapToGrid w:val="0"/>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r>
      <w:tr w14:paraId="56D7F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299" w:type="pct"/>
            <w:vMerge w:val="continue"/>
            <w:tcBorders>
              <w:left w:val="single" w:color="auto" w:sz="4" w:space="0"/>
              <w:right w:val="single" w:color="auto" w:sz="4" w:space="0"/>
            </w:tcBorders>
            <w:vAlign w:val="center"/>
          </w:tcPr>
          <w:p w14:paraId="6053F0F3">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400" w:type="pct"/>
            <w:tcBorders>
              <w:top w:val="single" w:color="auto" w:sz="4" w:space="0"/>
              <w:left w:val="single" w:color="auto" w:sz="4" w:space="0"/>
              <w:bottom w:val="single" w:color="auto" w:sz="4" w:space="0"/>
              <w:right w:val="single" w:color="auto" w:sz="4" w:space="0"/>
            </w:tcBorders>
            <w:vAlign w:val="center"/>
          </w:tcPr>
          <w:p w14:paraId="3D603F9B">
            <w:pPr>
              <w:widowControl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S</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4</w:t>
            </w:r>
          </w:p>
        </w:tc>
        <w:tc>
          <w:tcPr>
            <w:tcW w:w="964" w:type="pct"/>
            <w:tcBorders>
              <w:left w:val="single" w:color="auto" w:sz="4" w:space="0"/>
              <w:right w:val="single" w:color="auto" w:sz="4" w:space="0"/>
            </w:tcBorders>
            <w:vAlign w:val="center"/>
          </w:tcPr>
          <w:p w14:paraId="6363D2A8">
            <w:pPr>
              <w:widowControl w:val="0"/>
              <w:jc w:val="center"/>
              <w:rPr>
                <w:rFonts w:hint="default" w:ascii="Times New Roman" w:hAnsi="Times New Roman" w:eastAsia="宋体" w:cs="Times New Roman"/>
                <w:color w:val="000000" w:themeColor="text1"/>
                <w:szCs w:val="21"/>
                <w:highlight w:val="none"/>
                <w:lang w:val="en-US"/>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抛光</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、脱脂、污水处理站</w:t>
            </w:r>
          </w:p>
        </w:tc>
        <w:tc>
          <w:tcPr>
            <w:tcW w:w="1002" w:type="pct"/>
            <w:tcBorders>
              <w:left w:val="single" w:color="auto" w:sz="4" w:space="0"/>
              <w:right w:val="single" w:color="auto" w:sz="4" w:space="0"/>
            </w:tcBorders>
            <w:vAlign w:val="center"/>
          </w:tcPr>
          <w:p w14:paraId="21F2DB22">
            <w:pPr>
              <w:widowControl w:val="0"/>
              <w:jc w:val="center"/>
              <w:rPr>
                <w:rFonts w:hint="default" w:ascii="Times New Roman" w:hAnsi="Times New Roman" w:eastAsia="宋体" w:cs="Times New Roman"/>
                <w:color w:val="000000" w:themeColor="text1"/>
                <w:szCs w:val="20"/>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废原料包装</w:t>
            </w:r>
          </w:p>
        </w:tc>
        <w:tc>
          <w:tcPr>
            <w:tcW w:w="385" w:type="pct"/>
            <w:vMerge w:val="continue"/>
            <w:tcBorders>
              <w:left w:val="single" w:color="auto" w:sz="4" w:space="0"/>
              <w:right w:val="single" w:color="auto" w:sz="4" w:space="0"/>
            </w:tcBorders>
            <w:vAlign w:val="center"/>
          </w:tcPr>
          <w:p w14:paraId="384728AC">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687" w:type="pct"/>
            <w:tcBorders>
              <w:left w:val="single" w:color="auto" w:sz="4" w:space="0"/>
              <w:bottom w:val="single" w:color="auto" w:sz="4" w:space="0"/>
              <w:right w:val="single" w:color="auto" w:sz="4" w:space="0"/>
            </w:tcBorders>
            <w:vAlign w:val="center"/>
          </w:tcPr>
          <w:p w14:paraId="765972C4">
            <w:pPr>
              <w:widowControl w:val="0"/>
              <w:adjustRightInd w:val="0"/>
              <w:snapToGrid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袋装收集</w:t>
            </w:r>
          </w:p>
        </w:tc>
        <w:tc>
          <w:tcPr>
            <w:tcW w:w="1261" w:type="pct"/>
            <w:vMerge w:val="continue"/>
            <w:tcBorders>
              <w:left w:val="single" w:color="auto" w:sz="4" w:space="0"/>
              <w:right w:val="single" w:color="auto" w:sz="4" w:space="0"/>
            </w:tcBorders>
            <w:vAlign w:val="center"/>
          </w:tcPr>
          <w:p w14:paraId="34EA149C">
            <w:pPr>
              <w:widowControl w:val="0"/>
              <w:adjustRightInd w:val="0"/>
              <w:snapToGrid w:val="0"/>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r>
      <w:tr w14:paraId="6A2A6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299" w:type="pct"/>
            <w:vMerge w:val="continue"/>
            <w:tcBorders>
              <w:left w:val="single" w:color="auto" w:sz="4" w:space="0"/>
              <w:right w:val="single" w:color="auto" w:sz="4" w:space="0"/>
            </w:tcBorders>
            <w:vAlign w:val="center"/>
          </w:tcPr>
          <w:p w14:paraId="4E7A8990">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400" w:type="pct"/>
            <w:tcBorders>
              <w:top w:val="single" w:color="auto" w:sz="4" w:space="0"/>
              <w:left w:val="single" w:color="auto" w:sz="4" w:space="0"/>
              <w:bottom w:val="single" w:color="auto" w:sz="4" w:space="0"/>
              <w:right w:val="single" w:color="auto" w:sz="4" w:space="0"/>
            </w:tcBorders>
            <w:vAlign w:val="center"/>
          </w:tcPr>
          <w:p w14:paraId="0625764D">
            <w:pPr>
              <w:widowControl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S</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5</w:t>
            </w:r>
          </w:p>
        </w:tc>
        <w:tc>
          <w:tcPr>
            <w:tcW w:w="964" w:type="pct"/>
            <w:vMerge w:val="restart"/>
            <w:tcBorders>
              <w:left w:val="single" w:color="auto" w:sz="4" w:space="0"/>
              <w:right w:val="single" w:color="auto" w:sz="4" w:space="0"/>
            </w:tcBorders>
            <w:vAlign w:val="center"/>
          </w:tcPr>
          <w:p w14:paraId="5A6FF18E">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公用</w:t>
            </w:r>
          </w:p>
        </w:tc>
        <w:tc>
          <w:tcPr>
            <w:tcW w:w="1002" w:type="pct"/>
            <w:tcBorders>
              <w:left w:val="single" w:color="auto" w:sz="4" w:space="0"/>
              <w:right w:val="single" w:color="auto" w:sz="4" w:space="0"/>
            </w:tcBorders>
            <w:vAlign w:val="center"/>
          </w:tcPr>
          <w:p w14:paraId="1DA1DCC9">
            <w:pPr>
              <w:widowControl w:val="0"/>
              <w:jc w:val="center"/>
              <w:rPr>
                <w:rFonts w:hint="default" w:ascii="Times New Roman" w:hAnsi="Times New Roman" w:eastAsia="宋体" w:cs="Times New Roman"/>
                <w:color w:val="000000" w:themeColor="text1"/>
                <w:szCs w:val="20"/>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废润滑油</w:t>
            </w:r>
          </w:p>
        </w:tc>
        <w:tc>
          <w:tcPr>
            <w:tcW w:w="385" w:type="pct"/>
            <w:vMerge w:val="continue"/>
            <w:tcBorders>
              <w:left w:val="single" w:color="auto" w:sz="4" w:space="0"/>
              <w:right w:val="single" w:color="auto" w:sz="4" w:space="0"/>
            </w:tcBorders>
            <w:vAlign w:val="center"/>
          </w:tcPr>
          <w:p w14:paraId="26D6F087">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687" w:type="pct"/>
            <w:tcBorders>
              <w:top w:val="single" w:color="auto" w:sz="4" w:space="0"/>
              <w:left w:val="single" w:color="auto" w:sz="4" w:space="0"/>
              <w:right w:val="single" w:color="auto" w:sz="4" w:space="0"/>
            </w:tcBorders>
            <w:vAlign w:val="center"/>
          </w:tcPr>
          <w:p w14:paraId="646FDBAF">
            <w:pPr>
              <w:widowControl w:val="0"/>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桶装收集</w:t>
            </w:r>
          </w:p>
        </w:tc>
        <w:tc>
          <w:tcPr>
            <w:tcW w:w="1261" w:type="pct"/>
            <w:vMerge w:val="restart"/>
            <w:tcBorders>
              <w:top w:val="single" w:color="auto" w:sz="4" w:space="0"/>
              <w:left w:val="single" w:color="auto" w:sz="4" w:space="0"/>
              <w:right w:val="single" w:color="auto" w:sz="4" w:space="0"/>
            </w:tcBorders>
            <w:vAlign w:val="center"/>
          </w:tcPr>
          <w:p w14:paraId="3C3AADE6">
            <w:pPr>
              <w:widowControl w:val="0"/>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暂存于危废间中，定期由有资质单位进行处理</w:t>
            </w:r>
          </w:p>
        </w:tc>
      </w:tr>
      <w:tr w14:paraId="1602F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299" w:type="pct"/>
            <w:vMerge w:val="continue"/>
            <w:tcBorders>
              <w:left w:val="single" w:color="auto" w:sz="4" w:space="0"/>
              <w:right w:val="single" w:color="auto" w:sz="4" w:space="0"/>
            </w:tcBorders>
            <w:vAlign w:val="center"/>
          </w:tcPr>
          <w:p w14:paraId="379A5F24">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400" w:type="pct"/>
            <w:tcBorders>
              <w:top w:val="single" w:color="auto" w:sz="4" w:space="0"/>
              <w:left w:val="single" w:color="auto" w:sz="4" w:space="0"/>
              <w:bottom w:val="single" w:color="auto" w:sz="4" w:space="0"/>
              <w:right w:val="single" w:color="auto" w:sz="4" w:space="0"/>
            </w:tcBorders>
            <w:vAlign w:val="center"/>
          </w:tcPr>
          <w:p w14:paraId="24C56643">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S6</w:t>
            </w:r>
          </w:p>
        </w:tc>
        <w:tc>
          <w:tcPr>
            <w:tcW w:w="964" w:type="pct"/>
            <w:vMerge w:val="continue"/>
            <w:tcBorders>
              <w:left w:val="single" w:color="auto" w:sz="4" w:space="0"/>
              <w:right w:val="single" w:color="auto" w:sz="4" w:space="0"/>
            </w:tcBorders>
            <w:vAlign w:val="center"/>
          </w:tcPr>
          <w:p w14:paraId="44A41E51">
            <w:pPr>
              <w:widowControl w:val="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p>
        </w:tc>
        <w:tc>
          <w:tcPr>
            <w:tcW w:w="1002" w:type="pct"/>
            <w:tcBorders>
              <w:left w:val="single" w:color="auto" w:sz="4" w:space="0"/>
              <w:right w:val="single" w:color="auto" w:sz="4" w:space="0"/>
            </w:tcBorders>
            <w:vAlign w:val="center"/>
          </w:tcPr>
          <w:p w14:paraId="24A26B5F">
            <w:pPr>
              <w:widowControl w:val="0"/>
              <w:jc w:val="center"/>
              <w:rPr>
                <w:rFonts w:hint="default" w:ascii="Times New Roman" w:hAnsi="Times New Roman" w:eastAsia="宋体" w:cs="Times New Roman"/>
                <w:color w:val="000000" w:themeColor="text1"/>
                <w:kern w:val="2"/>
                <w:sz w:val="21"/>
                <w:szCs w:val="20"/>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废润滑油</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桶</w:t>
            </w:r>
          </w:p>
        </w:tc>
        <w:tc>
          <w:tcPr>
            <w:tcW w:w="385" w:type="pct"/>
            <w:vMerge w:val="continue"/>
            <w:tcBorders>
              <w:left w:val="single" w:color="auto" w:sz="4" w:space="0"/>
              <w:right w:val="single" w:color="auto" w:sz="4" w:space="0"/>
            </w:tcBorders>
            <w:vAlign w:val="center"/>
          </w:tcPr>
          <w:p w14:paraId="295C0170">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687" w:type="pct"/>
            <w:tcBorders>
              <w:left w:val="single" w:color="auto" w:sz="4" w:space="0"/>
              <w:bottom w:val="single" w:color="auto" w:sz="4" w:space="0"/>
              <w:right w:val="single" w:color="auto" w:sz="4" w:space="0"/>
            </w:tcBorders>
            <w:vAlign w:val="center"/>
          </w:tcPr>
          <w:p w14:paraId="09CD66F3">
            <w:pPr>
              <w:widowControl w:val="0"/>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危废间堆放</w:t>
            </w:r>
          </w:p>
        </w:tc>
        <w:tc>
          <w:tcPr>
            <w:tcW w:w="1261" w:type="pct"/>
            <w:vMerge w:val="continue"/>
            <w:tcBorders>
              <w:left w:val="single" w:color="auto" w:sz="4" w:space="0"/>
              <w:bottom w:val="single" w:color="auto" w:sz="4" w:space="0"/>
              <w:right w:val="single" w:color="auto" w:sz="4" w:space="0"/>
            </w:tcBorders>
            <w:vAlign w:val="center"/>
          </w:tcPr>
          <w:p w14:paraId="33E75FD9">
            <w:pPr>
              <w:widowControl w:val="0"/>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p>
        </w:tc>
      </w:tr>
      <w:tr w14:paraId="2762F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299" w:type="pct"/>
            <w:vMerge w:val="continue"/>
            <w:tcBorders>
              <w:left w:val="single" w:color="auto" w:sz="4" w:space="0"/>
              <w:right w:val="single" w:color="auto" w:sz="4" w:space="0"/>
            </w:tcBorders>
            <w:vAlign w:val="center"/>
          </w:tcPr>
          <w:p w14:paraId="5101AFDD">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400" w:type="pct"/>
            <w:tcBorders>
              <w:top w:val="single" w:color="auto" w:sz="4" w:space="0"/>
              <w:left w:val="single" w:color="auto" w:sz="4" w:space="0"/>
              <w:bottom w:val="single" w:color="auto" w:sz="4" w:space="0"/>
              <w:right w:val="single" w:color="auto" w:sz="4" w:space="0"/>
            </w:tcBorders>
            <w:vAlign w:val="center"/>
          </w:tcPr>
          <w:p w14:paraId="1A5581CA">
            <w:pPr>
              <w:widowControl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S</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7</w:t>
            </w:r>
          </w:p>
        </w:tc>
        <w:tc>
          <w:tcPr>
            <w:tcW w:w="964" w:type="pct"/>
            <w:vMerge w:val="restart"/>
            <w:tcBorders>
              <w:left w:val="single" w:color="auto" w:sz="4" w:space="0"/>
              <w:right w:val="single" w:color="auto" w:sz="4" w:space="0"/>
            </w:tcBorders>
            <w:vAlign w:val="center"/>
          </w:tcPr>
          <w:p w14:paraId="3C6BC5E1">
            <w:pPr>
              <w:widowControl w:val="0"/>
              <w:jc w:val="center"/>
              <w:rPr>
                <w:rFonts w:hint="default" w:ascii="Times New Roman" w:hAnsi="Times New Roman" w:eastAsia="宋体" w:cs="Times New Roman"/>
                <w:color w:val="000000" w:themeColor="text1"/>
                <w:szCs w:val="21"/>
                <w:highlight w:val="none"/>
                <w:lang w:val="en-US"/>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废气处理设施</w:t>
            </w:r>
          </w:p>
        </w:tc>
        <w:tc>
          <w:tcPr>
            <w:tcW w:w="1002" w:type="pct"/>
            <w:tcBorders>
              <w:left w:val="single" w:color="auto" w:sz="4" w:space="0"/>
              <w:right w:val="single" w:color="auto" w:sz="4" w:space="0"/>
            </w:tcBorders>
            <w:vAlign w:val="center"/>
          </w:tcPr>
          <w:p w14:paraId="62F26576">
            <w:pPr>
              <w:widowControl w:val="0"/>
              <w:jc w:val="center"/>
              <w:rPr>
                <w:rFonts w:hint="default" w:ascii="Times New Roman" w:hAnsi="Times New Roman" w:eastAsia="宋体" w:cs="Times New Roman"/>
                <w:color w:val="000000" w:themeColor="text1"/>
                <w:szCs w:val="20"/>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除尘灰</w:t>
            </w:r>
          </w:p>
        </w:tc>
        <w:tc>
          <w:tcPr>
            <w:tcW w:w="385" w:type="pct"/>
            <w:vMerge w:val="continue"/>
            <w:tcBorders>
              <w:left w:val="single" w:color="auto" w:sz="4" w:space="0"/>
              <w:right w:val="single" w:color="auto" w:sz="4" w:space="0"/>
            </w:tcBorders>
            <w:vAlign w:val="center"/>
          </w:tcPr>
          <w:p w14:paraId="7FFCDF58">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687" w:type="pct"/>
            <w:tcBorders>
              <w:top w:val="single" w:color="auto" w:sz="4" w:space="0"/>
              <w:left w:val="single" w:color="auto" w:sz="4" w:space="0"/>
              <w:right w:val="single" w:color="auto" w:sz="4" w:space="0"/>
            </w:tcBorders>
            <w:vAlign w:val="center"/>
          </w:tcPr>
          <w:p w14:paraId="09376897">
            <w:pPr>
              <w:widowControl w:val="0"/>
              <w:adjustRightInd w:val="0"/>
              <w:snapToGrid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袋装收集</w:t>
            </w:r>
          </w:p>
        </w:tc>
        <w:tc>
          <w:tcPr>
            <w:tcW w:w="1261" w:type="pct"/>
            <w:vMerge w:val="restart"/>
            <w:tcBorders>
              <w:top w:val="single" w:color="auto" w:sz="4" w:space="0"/>
              <w:left w:val="single" w:color="auto" w:sz="4" w:space="0"/>
              <w:right w:val="single" w:color="auto" w:sz="4" w:space="0"/>
            </w:tcBorders>
            <w:vAlign w:val="center"/>
          </w:tcPr>
          <w:p w14:paraId="5BC5F0C3">
            <w:pPr>
              <w:widowControl w:val="0"/>
              <w:adjustRightInd w:val="0"/>
              <w:snapToGrid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集中收集后外售</w:t>
            </w:r>
          </w:p>
        </w:tc>
      </w:tr>
      <w:tr w14:paraId="754FD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299" w:type="pct"/>
            <w:vMerge w:val="continue"/>
            <w:tcBorders>
              <w:left w:val="single" w:color="auto" w:sz="4" w:space="0"/>
              <w:right w:val="single" w:color="auto" w:sz="4" w:space="0"/>
            </w:tcBorders>
            <w:vAlign w:val="center"/>
          </w:tcPr>
          <w:p w14:paraId="328F56B5">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400" w:type="pct"/>
            <w:tcBorders>
              <w:top w:val="single" w:color="auto" w:sz="4" w:space="0"/>
              <w:left w:val="single" w:color="auto" w:sz="4" w:space="0"/>
              <w:bottom w:val="single" w:color="auto" w:sz="4" w:space="0"/>
              <w:right w:val="single" w:color="auto" w:sz="4" w:space="0"/>
            </w:tcBorders>
            <w:shd w:val="clear" w:color="auto" w:fill="auto"/>
            <w:vAlign w:val="center"/>
          </w:tcPr>
          <w:p w14:paraId="70E3938B">
            <w:pPr>
              <w:widowControl w:val="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S20</w:t>
            </w:r>
          </w:p>
        </w:tc>
        <w:tc>
          <w:tcPr>
            <w:tcW w:w="964" w:type="pct"/>
            <w:vMerge w:val="continue"/>
            <w:tcBorders>
              <w:left w:val="single" w:color="auto" w:sz="4" w:space="0"/>
              <w:right w:val="single" w:color="auto" w:sz="4" w:space="0"/>
            </w:tcBorders>
            <w:shd w:val="clear" w:color="auto" w:fill="auto"/>
            <w:vAlign w:val="center"/>
          </w:tcPr>
          <w:p w14:paraId="1F0BC6F6">
            <w:pPr>
              <w:widowControl w:val="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p>
        </w:tc>
        <w:tc>
          <w:tcPr>
            <w:tcW w:w="1002" w:type="pct"/>
            <w:tcBorders>
              <w:left w:val="single" w:color="auto" w:sz="4" w:space="0"/>
              <w:right w:val="single" w:color="auto" w:sz="4" w:space="0"/>
            </w:tcBorders>
            <w:shd w:val="clear" w:color="auto" w:fill="auto"/>
            <w:vAlign w:val="center"/>
          </w:tcPr>
          <w:p w14:paraId="489E235D">
            <w:pPr>
              <w:widowControl w:val="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废布袋</w:t>
            </w:r>
          </w:p>
        </w:tc>
        <w:tc>
          <w:tcPr>
            <w:tcW w:w="385" w:type="pct"/>
            <w:vMerge w:val="continue"/>
            <w:tcBorders>
              <w:left w:val="single" w:color="auto" w:sz="4" w:space="0"/>
              <w:right w:val="single" w:color="auto" w:sz="4" w:space="0"/>
            </w:tcBorders>
            <w:shd w:val="clear" w:color="auto" w:fill="auto"/>
            <w:vAlign w:val="center"/>
          </w:tcPr>
          <w:p w14:paraId="28A9D436">
            <w:pPr>
              <w:widowControl w:val="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p>
        </w:tc>
        <w:tc>
          <w:tcPr>
            <w:tcW w:w="687" w:type="pct"/>
            <w:tcBorders>
              <w:top w:val="single" w:color="auto" w:sz="4" w:space="0"/>
              <w:left w:val="single" w:color="auto" w:sz="4" w:space="0"/>
              <w:right w:val="single" w:color="auto" w:sz="4" w:space="0"/>
            </w:tcBorders>
            <w:shd w:val="clear" w:color="auto" w:fill="auto"/>
            <w:vAlign w:val="center"/>
          </w:tcPr>
          <w:p w14:paraId="0AE55CBB">
            <w:pPr>
              <w:widowControl w:val="0"/>
              <w:adjustRightInd w:val="0"/>
              <w:snapToGrid w:val="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袋装收集</w:t>
            </w:r>
          </w:p>
        </w:tc>
        <w:tc>
          <w:tcPr>
            <w:tcW w:w="1261" w:type="pct"/>
            <w:vMerge w:val="continue"/>
            <w:tcBorders>
              <w:left w:val="single" w:color="auto" w:sz="4" w:space="0"/>
              <w:right w:val="single" w:color="auto" w:sz="4" w:space="0"/>
            </w:tcBorders>
            <w:vAlign w:val="center"/>
          </w:tcPr>
          <w:p w14:paraId="670DBD8A">
            <w:pPr>
              <w:widowControl w:val="0"/>
              <w:adjustRightInd w:val="0"/>
              <w:snapToGrid w:val="0"/>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r>
      <w:tr w14:paraId="27234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299" w:type="pct"/>
            <w:vMerge w:val="continue"/>
            <w:tcBorders>
              <w:left w:val="single" w:color="auto" w:sz="4" w:space="0"/>
              <w:right w:val="single" w:color="auto" w:sz="4" w:space="0"/>
            </w:tcBorders>
            <w:vAlign w:val="center"/>
          </w:tcPr>
          <w:p w14:paraId="13CC7D96">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400" w:type="pct"/>
            <w:tcBorders>
              <w:top w:val="single" w:color="auto" w:sz="4" w:space="0"/>
              <w:left w:val="single" w:color="auto" w:sz="4" w:space="0"/>
              <w:bottom w:val="single" w:color="auto" w:sz="4" w:space="0"/>
              <w:right w:val="single" w:color="auto" w:sz="4" w:space="0"/>
            </w:tcBorders>
            <w:vAlign w:val="center"/>
          </w:tcPr>
          <w:p w14:paraId="6D8EBE0A">
            <w:pPr>
              <w:widowControl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S</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8</w:t>
            </w:r>
          </w:p>
        </w:tc>
        <w:tc>
          <w:tcPr>
            <w:tcW w:w="964" w:type="pct"/>
            <w:tcBorders>
              <w:left w:val="single" w:color="auto" w:sz="4" w:space="0"/>
              <w:right w:val="single" w:color="auto" w:sz="4" w:space="0"/>
            </w:tcBorders>
            <w:vAlign w:val="center"/>
          </w:tcPr>
          <w:p w14:paraId="28E70F9B">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脱脂</w:t>
            </w:r>
          </w:p>
        </w:tc>
        <w:tc>
          <w:tcPr>
            <w:tcW w:w="1002" w:type="pct"/>
            <w:tcBorders>
              <w:left w:val="single" w:color="auto" w:sz="4" w:space="0"/>
              <w:right w:val="single" w:color="auto" w:sz="4" w:space="0"/>
            </w:tcBorders>
            <w:vAlign w:val="center"/>
          </w:tcPr>
          <w:p w14:paraId="4630E5EB">
            <w:pPr>
              <w:widowControl w:val="0"/>
              <w:jc w:val="center"/>
              <w:rPr>
                <w:rFonts w:hint="default" w:ascii="Times New Roman" w:hAnsi="Times New Roman" w:eastAsia="宋体" w:cs="Times New Roman"/>
                <w:color w:val="000000" w:themeColor="text1"/>
                <w:szCs w:val="20"/>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槽内油泥</w:t>
            </w:r>
          </w:p>
        </w:tc>
        <w:tc>
          <w:tcPr>
            <w:tcW w:w="385" w:type="pct"/>
            <w:vMerge w:val="continue"/>
            <w:tcBorders>
              <w:left w:val="single" w:color="auto" w:sz="4" w:space="0"/>
              <w:right w:val="single" w:color="auto" w:sz="4" w:space="0"/>
            </w:tcBorders>
            <w:vAlign w:val="center"/>
          </w:tcPr>
          <w:p w14:paraId="664C1BDA">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687" w:type="pct"/>
            <w:tcBorders>
              <w:top w:val="single" w:color="auto" w:sz="4" w:space="0"/>
              <w:left w:val="single" w:color="auto" w:sz="4" w:space="0"/>
              <w:right w:val="single" w:color="auto" w:sz="4" w:space="0"/>
            </w:tcBorders>
            <w:vAlign w:val="center"/>
          </w:tcPr>
          <w:p w14:paraId="33618F40">
            <w:pPr>
              <w:widowControl w:val="0"/>
              <w:adjustRightInd w:val="0"/>
              <w:snapToGrid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桶装收集</w:t>
            </w:r>
          </w:p>
        </w:tc>
        <w:tc>
          <w:tcPr>
            <w:tcW w:w="1261" w:type="pct"/>
            <w:tcBorders>
              <w:top w:val="single" w:color="auto" w:sz="4" w:space="0"/>
              <w:left w:val="single" w:color="auto" w:sz="4" w:space="0"/>
              <w:right w:val="single" w:color="auto" w:sz="4" w:space="0"/>
            </w:tcBorders>
            <w:vAlign w:val="center"/>
          </w:tcPr>
          <w:p w14:paraId="6E23FC0F">
            <w:pPr>
              <w:widowControl w:val="0"/>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暂存于危废间中，定期由有资质单位进行处理</w:t>
            </w:r>
          </w:p>
        </w:tc>
      </w:tr>
      <w:tr w14:paraId="497EF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299" w:type="pct"/>
            <w:vMerge w:val="continue"/>
            <w:tcBorders>
              <w:left w:val="single" w:color="auto" w:sz="4" w:space="0"/>
              <w:right w:val="single" w:color="auto" w:sz="4" w:space="0"/>
            </w:tcBorders>
            <w:vAlign w:val="center"/>
          </w:tcPr>
          <w:p w14:paraId="2FFC70B6">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400" w:type="pct"/>
            <w:tcBorders>
              <w:top w:val="single" w:color="auto" w:sz="4" w:space="0"/>
              <w:left w:val="single" w:color="auto" w:sz="4" w:space="0"/>
              <w:bottom w:val="single" w:color="auto" w:sz="4" w:space="0"/>
              <w:right w:val="single" w:color="auto" w:sz="4" w:space="0"/>
            </w:tcBorders>
            <w:vAlign w:val="center"/>
          </w:tcPr>
          <w:p w14:paraId="69553F6B">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S</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9</w:t>
            </w:r>
          </w:p>
        </w:tc>
        <w:tc>
          <w:tcPr>
            <w:tcW w:w="964" w:type="pct"/>
            <w:tcBorders>
              <w:left w:val="single" w:color="auto" w:sz="4" w:space="0"/>
              <w:right w:val="single" w:color="auto" w:sz="4" w:space="0"/>
            </w:tcBorders>
            <w:vAlign w:val="center"/>
          </w:tcPr>
          <w:p w14:paraId="51FB7E2D">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脱脂、</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阳极氧化</w:t>
            </w:r>
          </w:p>
        </w:tc>
        <w:tc>
          <w:tcPr>
            <w:tcW w:w="1002" w:type="pct"/>
            <w:tcBorders>
              <w:left w:val="single" w:color="auto" w:sz="4" w:space="0"/>
              <w:right w:val="single" w:color="auto" w:sz="4" w:space="0"/>
            </w:tcBorders>
            <w:vAlign w:val="center"/>
          </w:tcPr>
          <w:p w14:paraId="311EA84F">
            <w:pPr>
              <w:widowControl w:val="0"/>
              <w:jc w:val="center"/>
              <w:rPr>
                <w:rFonts w:hint="default" w:ascii="Times New Roman" w:hAnsi="Times New Roman" w:eastAsia="宋体" w:cs="Times New Roman"/>
                <w:color w:val="000000" w:themeColor="text1"/>
                <w:szCs w:val="20"/>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化学品包装</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瓶/桶</w:t>
            </w:r>
          </w:p>
        </w:tc>
        <w:tc>
          <w:tcPr>
            <w:tcW w:w="385" w:type="pct"/>
            <w:vMerge w:val="continue"/>
            <w:tcBorders>
              <w:left w:val="single" w:color="auto" w:sz="4" w:space="0"/>
              <w:right w:val="single" w:color="auto" w:sz="4" w:space="0"/>
            </w:tcBorders>
            <w:vAlign w:val="center"/>
          </w:tcPr>
          <w:p w14:paraId="4F9391B1">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687" w:type="pct"/>
            <w:tcBorders>
              <w:left w:val="single" w:color="auto" w:sz="4" w:space="0"/>
              <w:right w:val="single" w:color="auto" w:sz="4" w:space="0"/>
            </w:tcBorders>
            <w:vAlign w:val="center"/>
          </w:tcPr>
          <w:p w14:paraId="47D85F79">
            <w:pPr>
              <w:widowControl w:val="0"/>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危废间堆放</w:t>
            </w:r>
          </w:p>
        </w:tc>
        <w:tc>
          <w:tcPr>
            <w:tcW w:w="1261" w:type="pct"/>
            <w:tcBorders>
              <w:left w:val="single" w:color="auto" w:sz="4" w:space="0"/>
              <w:right w:val="single" w:color="auto" w:sz="4" w:space="0"/>
            </w:tcBorders>
            <w:vAlign w:val="center"/>
          </w:tcPr>
          <w:p w14:paraId="469B3E4E">
            <w:pPr>
              <w:widowControl w:val="0"/>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生产厂家回收</w:t>
            </w:r>
          </w:p>
        </w:tc>
      </w:tr>
      <w:tr w14:paraId="5B452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299" w:type="pct"/>
            <w:vMerge w:val="continue"/>
            <w:tcBorders>
              <w:left w:val="single" w:color="auto" w:sz="4" w:space="0"/>
              <w:right w:val="single" w:color="auto" w:sz="4" w:space="0"/>
            </w:tcBorders>
            <w:vAlign w:val="center"/>
          </w:tcPr>
          <w:p w14:paraId="609F96C3">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400" w:type="pct"/>
            <w:tcBorders>
              <w:top w:val="single" w:color="auto" w:sz="4" w:space="0"/>
              <w:left w:val="single" w:color="auto" w:sz="4" w:space="0"/>
              <w:bottom w:val="single" w:color="auto" w:sz="4" w:space="0"/>
              <w:right w:val="single" w:color="auto" w:sz="4" w:space="0"/>
            </w:tcBorders>
            <w:vAlign w:val="center"/>
          </w:tcPr>
          <w:p w14:paraId="0B9B0B64">
            <w:pPr>
              <w:widowControl w:val="0"/>
              <w:jc w:val="center"/>
              <w:rPr>
                <w:rFonts w:hint="default" w:ascii="Times New Roman" w:hAnsi="Times New Roman" w:eastAsia="宋体" w:cs="Times New Roman"/>
                <w:color w:val="000000" w:themeColor="text1"/>
                <w:szCs w:val="21"/>
                <w:highlight w:val="none"/>
                <w:lang w:val="en-US"/>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S</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10</w:t>
            </w:r>
          </w:p>
        </w:tc>
        <w:tc>
          <w:tcPr>
            <w:tcW w:w="964" w:type="pct"/>
            <w:tcBorders>
              <w:left w:val="single" w:color="auto" w:sz="4" w:space="0"/>
              <w:right w:val="single" w:color="auto" w:sz="4" w:space="0"/>
            </w:tcBorders>
            <w:vAlign w:val="center"/>
          </w:tcPr>
          <w:p w14:paraId="7386B1F7">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阳极氧化</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、封闭</w:t>
            </w:r>
          </w:p>
        </w:tc>
        <w:tc>
          <w:tcPr>
            <w:tcW w:w="1002" w:type="pct"/>
            <w:tcBorders>
              <w:left w:val="single" w:color="auto" w:sz="4" w:space="0"/>
              <w:right w:val="single" w:color="auto" w:sz="4" w:space="0"/>
            </w:tcBorders>
            <w:vAlign w:val="center"/>
          </w:tcPr>
          <w:p w14:paraId="1321DACA">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废槽渣</w:t>
            </w:r>
          </w:p>
        </w:tc>
        <w:tc>
          <w:tcPr>
            <w:tcW w:w="385" w:type="pct"/>
            <w:vMerge w:val="continue"/>
            <w:tcBorders>
              <w:left w:val="single" w:color="auto" w:sz="4" w:space="0"/>
              <w:right w:val="single" w:color="auto" w:sz="4" w:space="0"/>
            </w:tcBorders>
            <w:vAlign w:val="center"/>
          </w:tcPr>
          <w:p w14:paraId="75408A70">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687" w:type="pct"/>
            <w:tcBorders>
              <w:left w:val="single" w:color="auto" w:sz="4" w:space="0"/>
              <w:bottom w:val="single" w:color="auto" w:sz="4" w:space="0"/>
              <w:right w:val="single" w:color="auto" w:sz="4" w:space="0"/>
            </w:tcBorders>
            <w:vAlign w:val="center"/>
          </w:tcPr>
          <w:p w14:paraId="1CBF044C">
            <w:pPr>
              <w:widowControl w:val="0"/>
              <w:adjustRightInd w:val="0"/>
              <w:snapToGrid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桶装收集</w:t>
            </w:r>
          </w:p>
        </w:tc>
        <w:tc>
          <w:tcPr>
            <w:tcW w:w="1261" w:type="pct"/>
            <w:tcBorders>
              <w:left w:val="single" w:color="auto" w:sz="4" w:space="0"/>
              <w:bottom w:val="single" w:color="auto" w:sz="4" w:space="0"/>
              <w:right w:val="single" w:color="auto" w:sz="4" w:space="0"/>
            </w:tcBorders>
            <w:vAlign w:val="center"/>
          </w:tcPr>
          <w:p w14:paraId="416CB1BA">
            <w:pPr>
              <w:widowControl w:val="0"/>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暂存于危废间中，定期由有资质单位进行处理</w:t>
            </w:r>
          </w:p>
        </w:tc>
      </w:tr>
      <w:tr w14:paraId="02957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299" w:type="pct"/>
            <w:vMerge w:val="continue"/>
            <w:tcBorders>
              <w:left w:val="single" w:color="auto" w:sz="4" w:space="0"/>
              <w:right w:val="single" w:color="auto" w:sz="4" w:space="0"/>
            </w:tcBorders>
            <w:vAlign w:val="center"/>
          </w:tcPr>
          <w:p w14:paraId="6F932D7C">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400" w:type="pct"/>
            <w:tcBorders>
              <w:top w:val="single" w:color="auto" w:sz="4" w:space="0"/>
              <w:left w:val="single" w:color="auto" w:sz="4" w:space="0"/>
              <w:bottom w:val="single" w:color="auto" w:sz="4" w:space="0"/>
              <w:right w:val="single" w:color="auto" w:sz="4" w:space="0"/>
            </w:tcBorders>
            <w:vAlign w:val="center"/>
          </w:tcPr>
          <w:p w14:paraId="247577A5">
            <w:pPr>
              <w:widowControl w:val="0"/>
              <w:jc w:val="center"/>
              <w:rPr>
                <w:rFonts w:hint="default" w:ascii="Times New Roman" w:hAnsi="Times New Roman" w:eastAsia="宋体" w:cs="Times New Roman"/>
                <w:color w:val="000000" w:themeColor="text1"/>
                <w:szCs w:val="21"/>
                <w:highlight w:val="none"/>
                <w:lang w:val="en-US"/>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S</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11</w:t>
            </w:r>
          </w:p>
        </w:tc>
        <w:tc>
          <w:tcPr>
            <w:tcW w:w="964" w:type="pct"/>
            <w:tcBorders>
              <w:left w:val="single" w:color="auto" w:sz="4" w:space="0"/>
              <w:right w:val="single" w:color="auto" w:sz="4" w:space="0"/>
            </w:tcBorders>
            <w:vAlign w:val="center"/>
          </w:tcPr>
          <w:p w14:paraId="537AE36C">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阳极氧化、封闭</w:t>
            </w:r>
          </w:p>
        </w:tc>
        <w:tc>
          <w:tcPr>
            <w:tcW w:w="1002" w:type="pct"/>
            <w:tcBorders>
              <w:left w:val="single" w:color="auto" w:sz="4" w:space="0"/>
              <w:right w:val="single" w:color="auto" w:sz="4" w:space="0"/>
            </w:tcBorders>
            <w:vAlign w:val="center"/>
          </w:tcPr>
          <w:p w14:paraId="335B2357">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不合格产品</w:t>
            </w:r>
          </w:p>
        </w:tc>
        <w:tc>
          <w:tcPr>
            <w:tcW w:w="385" w:type="pct"/>
            <w:vMerge w:val="continue"/>
            <w:tcBorders>
              <w:left w:val="single" w:color="auto" w:sz="4" w:space="0"/>
              <w:right w:val="single" w:color="auto" w:sz="4" w:space="0"/>
            </w:tcBorders>
            <w:vAlign w:val="center"/>
          </w:tcPr>
          <w:p w14:paraId="34911F85">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687" w:type="pct"/>
            <w:tcBorders>
              <w:top w:val="single" w:color="auto" w:sz="4" w:space="0"/>
              <w:left w:val="single" w:color="auto" w:sz="4" w:space="0"/>
              <w:bottom w:val="single" w:color="auto" w:sz="4" w:space="0"/>
              <w:right w:val="single" w:color="auto" w:sz="4" w:space="0"/>
            </w:tcBorders>
            <w:vAlign w:val="center"/>
          </w:tcPr>
          <w:p w14:paraId="19555E5C">
            <w:pPr>
              <w:widowControl w:val="0"/>
              <w:adjustRightInd w:val="0"/>
              <w:snapToGrid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一般固废库堆放</w:t>
            </w:r>
          </w:p>
        </w:tc>
        <w:tc>
          <w:tcPr>
            <w:tcW w:w="1261" w:type="pct"/>
            <w:tcBorders>
              <w:top w:val="single" w:color="auto" w:sz="4" w:space="0"/>
              <w:left w:val="single" w:color="auto" w:sz="4" w:space="0"/>
              <w:bottom w:val="single" w:color="auto" w:sz="4" w:space="0"/>
              <w:right w:val="single" w:color="auto" w:sz="4" w:space="0"/>
            </w:tcBorders>
            <w:vAlign w:val="center"/>
          </w:tcPr>
          <w:p w14:paraId="5A34626C">
            <w:pPr>
              <w:widowControl w:val="0"/>
              <w:adjustRightInd w:val="0"/>
              <w:snapToGrid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集中收集后外售</w:t>
            </w:r>
          </w:p>
        </w:tc>
      </w:tr>
      <w:tr w14:paraId="715EC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jc w:val="center"/>
        </w:trPr>
        <w:tc>
          <w:tcPr>
            <w:tcW w:w="299" w:type="pct"/>
            <w:vMerge w:val="continue"/>
            <w:tcBorders>
              <w:left w:val="single" w:color="auto" w:sz="4" w:space="0"/>
              <w:right w:val="single" w:color="auto" w:sz="4" w:space="0"/>
            </w:tcBorders>
            <w:vAlign w:val="center"/>
          </w:tcPr>
          <w:p w14:paraId="26C6C764">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400" w:type="pct"/>
            <w:tcBorders>
              <w:top w:val="single" w:color="auto" w:sz="4" w:space="0"/>
              <w:left w:val="single" w:color="auto" w:sz="4" w:space="0"/>
              <w:bottom w:val="single" w:color="auto" w:sz="4" w:space="0"/>
              <w:right w:val="single" w:color="auto" w:sz="4" w:space="0"/>
            </w:tcBorders>
            <w:vAlign w:val="center"/>
          </w:tcPr>
          <w:p w14:paraId="229C02BA">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S</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12</w:t>
            </w:r>
          </w:p>
        </w:tc>
        <w:tc>
          <w:tcPr>
            <w:tcW w:w="964" w:type="pct"/>
            <w:vMerge w:val="restart"/>
            <w:tcBorders>
              <w:left w:val="single" w:color="auto" w:sz="4" w:space="0"/>
              <w:right w:val="single" w:color="auto" w:sz="4" w:space="0"/>
            </w:tcBorders>
            <w:vAlign w:val="center"/>
          </w:tcPr>
          <w:p w14:paraId="172EB1D3">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纯水制备</w:t>
            </w:r>
          </w:p>
        </w:tc>
        <w:tc>
          <w:tcPr>
            <w:tcW w:w="1002" w:type="pct"/>
            <w:tcBorders>
              <w:left w:val="single" w:color="auto" w:sz="4" w:space="0"/>
              <w:right w:val="single" w:color="auto" w:sz="4" w:space="0"/>
            </w:tcBorders>
            <w:vAlign w:val="center"/>
          </w:tcPr>
          <w:p w14:paraId="6ADD10DA">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纯水制备设备废活性炭</w:t>
            </w:r>
          </w:p>
        </w:tc>
        <w:tc>
          <w:tcPr>
            <w:tcW w:w="385" w:type="pct"/>
            <w:vMerge w:val="continue"/>
            <w:tcBorders>
              <w:left w:val="single" w:color="auto" w:sz="4" w:space="0"/>
              <w:right w:val="single" w:color="auto" w:sz="4" w:space="0"/>
            </w:tcBorders>
            <w:vAlign w:val="center"/>
          </w:tcPr>
          <w:p w14:paraId="05879611">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687" w:type="pct"/>
            <w:tcBorders>
              <w:top w:val="single" w:color="auto" w:sz="4" w:space="0"/>
              <w:left w:val="single" w:color="auto" w:sz="4" w:space="0"/>
              <w:right w:val="single" w:color="auto" w:sz="4" w:space="0"/>
            </w:tcBorders>
            <w:vAlign w:val="center"/>
          </w:tcPr>
          <w:p w14:paraId="009D7CE1">
            <w:pPr>
              <w:widowControl w:val="0"/>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袋装收集</w:t>
            </w:r>
          </w:p>
        </w:tc>
        <w:tc>
          <w:tcPr>
            <w:tcW w:w="1261" w:type="pct"/>
            <w:vMerge w:val="restart"/>
            <w:tcBorders>
              <w:top w:val="single" w:color="auto" w:sz="4" w:space="0"/>
              <w:left w:val="single" w:color="auto" w:sz="4" w:space="0"/>
              <w:right w:val="single" w:color="auto" w:sz="4" w:space="0"/>
            </w:tcBorders>
            <w:vAlign w:val="center"/>
          </w:tcPr>
          <w:p w14:paraId="6C316EF1">
            <w:pPr>
              <w:widowControl w:val="0"/>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收集后由设备厂家回收</w:t>
            </w:r>
          </w:p>
        </w:tc>
      </w:tr>
      <w:tr w14:paraId="6C025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299" w:type="pct"/>
            <w:vMerge w:val="continue"/>
            <w:tcBorders>
              <w:left w:val="single" w:color="auto" w:sz="4" w:space="0"/>
              <w:right w:val="single" w:color="auto" w:sz="4" w:space="0"/>
            </w:tcBorders>
            <w:vAlign w:val="center"/>
          </w:tcPr>
          <w:p w14:paraId="56CC8146">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400" w:type="pct"/>
            <w:tcBorders>
              <w:top w:val="single" w:color="auto" w:sz="4" w:space="0"/>
              <w:left w:val="single" w:color="auto" w:sz="4" w:space="0"/>
              <w:bottom w:val="single" w:color="auto" w:sz="4" w:space="0"/>
              <w:right w:val="single" w:color="auto" w:sz="4" w:space="0"/>
            </w:tcBorders>
            <w:vAlign w:val="center"/>
          </w:tcPr>
          <w:p w14:paraId="0E438BB0">
            <w:pPr>
              <w:widowControl w:val="0"/>
              <w:jc w:val="center"/>
              <w:rPr>
                <w:rFonts w:hint="default" w:ascii="Times New Roman" w:hAnsi="Times New Roman" w:eastAsia="宋体" w:cs="Times New Roman"/>
                <w:color w:val="000000" w:themeColor="text1"/>
                <w:szCs w:val="21"/>
                <w:highlight w:val="none"/>
                <w:lang w:val="en-US"/>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S</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13</w:t>
            </w:r>
          </w:p>
        </w:tc>
        <w:tc>
          <w:tcPr>
            <w:tcW w:w="964" w:type="pct"/>
            <w:vMerge w:val="continue"/>
            <w:tcBorders>
              <w:left w:val="single" w:color="auto" w:sz="4" w:space="0"/>
              <w:right w:val="single" w:color="auto" w:sz="4" w:space="0"/>
            </w:tcBorders>
            <w:vAlign w:val="center"/>
          </w:tcPr>
          <w:p w14:paraId="78E5A750">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p>
        </w:tc>
        <w:tc>
          <w:tcPr>
            <w:tcW w:w="1002" w:type="pct"/>
            <w:tcBorders>
              <w:left w:val="single" w:color="auto" w:sz="4" w:space="0"/>
              <w:right w:val="single" w:color="auto" w:sz="4" w:space="0"/>
            </w:tcBorders>
            <w:vAlign w:val="center"/>
          </w:tcPr>
          <w:p w14:paraId="41B76DC0">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纯水制备设备废树脂膜</w:t>
            </w:r>
          </w:p>
        </w:tc>
        <w:tc>
          <w:tcPr>
            <w:tcW w:w="385" w:type="pct"/>
            <w:vMerge w:val="continue"/>
            <w:tcBorders>
              <w:left w:val="single" w:color="auto" w:sz="4" w:space="0"/>
              <w:right w:val="single" w:color="auto" w:sz="4" w:space="0"/>
            </w:tcBorders>
            <w:vAlign w:val="center"/>
          </w:tcPr>
          <w:p w14:paraId="7E69AAB7">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687" w:type="pct"/>
            <w:tcBorders>
              <w:left w:val="single" w:color="auto" w:sz="4" w:space="0"/>
              <w:bottom w:val="single" w:color="auto" w:sz="4" w:space="0"/>
              <w:right w:val="single" w:color="auto" w:sz="4" w:space="0"/>
            </w:tcBorders>
            <w:vAlign w:val="center"/>
          </w:tcPr>
          <w:p w14:paraId="40032C89">
            <w:pPr>
              <w:widowControl w:val="0"/>
              <w:adjustRightInd w:val="0"/>
              <w:snapToGrid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袋装收集</w:t>
            </w:r>
          </w:p>
        </w:tc>
        <w:tc>
          <w:tcPr>
            <w:tcW w:w="1261" w:type="pct"/>
            <w:vMerge w:val="continue"/>
            <w:tcBorders>
              <w:left w:val="single" w:color="auto" w:sz="4" w:space="0"/>
              <w:bottom w:val="single" w:color="auto" w:sz="4" w:space="0"/>
              <w:right w:val="single" w:color="auto" w:sz="4" w:space="0"/>
            </w:tcBorders>
            <w:vAlign w:val="center"/>
          </w:tcPr>
          <w:p w14:paraId="4BAD8977">
            <w:pPr>
              <w:widowControl w:val="0"/>
              <w:adjustRightInd w:val="0"/>
              <w:snapToGrid w:val="0"/>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r>
      <w:tr w14:paraId="54D91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299" w:type="pct"/>
            <w:vMerge w:val="continue"/>
            <w:tcBorders>
              <w:left w:val="single" w:color="auto" w:sz="4" w:space="0"/>
              <w:right w:val="single" w:color="auto" w:sz="4" w:space="0"/>
            </w:tcBorders>
            <w:vAlign w:val="center"/>
          </w:tcPr>
          <w:p w14:paraId="3BE200F9">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400" w:type="pct"/>
            <w:tcBorders>
              <w:top w:val="single" w:color="auto" w:sz="4" w:space="0"/>
              <w:left w:val="single" w:color="auto" w:sz="4" w:space="0"/>
              <w:bottom w:val="single" w:color="auto" w:sz="4" w:space="0"/>
              <w:right w:val="single" w:color="auto" w:sz="4" w:space="0"/>
            </w:tcBorders>
            <w:vAlign w:val="center"/>
          </w:tcPr>
          <w:p w14:paraId="06DEA1FF">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S14</w:t>
            </w:r>
          </w:p>
        </w:tc>
        <w:tc>
          <w:tcPr>
            <w:tcW w:w="964" w:type="pct"/>
            <w:vMerge w:val="restart"/>
            <w:tcBorders>
              <w:left w:val="single" w:color="auto" w:sz="4" w:space="0"/>
              <w:right w:val="single" w:color="auto" w:sz="4" w:space="0"/>
            </w:tcBorders>
            <w:vAlign w:val="center"/>
          </w:tcPr>
          <w:p w14:paraId="5946D064">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污水处理站</w:t>
            </w:r>
          </w:p>
        </w:tc>
        <w:tc>
          <w:tcPr>
            <w:tcW w:w="1002" w:type="pct"/>
            <w:tcBorders>
              <w:left w:val="single" w:color="auto" w:sz="4" w:space="0"/>
              <w:right w:val="single" w:color="auto" w:sz="4" w:space="0"/>
            </w:tcBorders>
            <w:vAlign w:val="center"/>
          </w:tcPr>
          <w:p w14:paraId="5DB80419">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污泥</w:t>
            </w:r>
          </w:p>
        </w:tc>
        <w:tc>
          <w:tcPr>
            <w:tcW w:w="385" w:type="pct"/>
            <w:vMerge w:val="continue"/>
            <w:tcBorders>
              <w:left w:val="single" w:color="auto" w:sz="4" w:space="0"/>
              <w:right w:val="single" w:color="auto" w:sz="4" w:space="0"/>
            </w:tcBorders>
            <w:vAlign w:val="center"/>
          </w:tcPr>
          <w:p w14:paraId="4C6F538B">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687" w:type="pct"/>
            <w:tcBorders>
              <w:top w:val="single" w:color="auto" w:sz="4" w:space="0"/>
              <w:left w:val="single" w:color="auto" w:sz="4" w:space="0"/>
              <w:right w:val="single" w:color="auto" w:sz="4" w:space="0"/>
            </w:tcBorders>
            <w:vAlign w:val="center"/>
          </w:tcPr>
          <w:p w14:paraId="0061C306">
            <w:pPr>
              <w:widowControl w:val="0"/>
              <w:adjustRightInd w:val="0"/>
              <w:snapToGrid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桶装收集</w:t>
            </w:r>
          </w:p>
        </w:tc>
        <w:tc>
          <w:tcPr>
            <w:tcW w:w="1261" w:type="pct"/>
            <w:vMerge w:val="restart"/>
            <w:tcBorders>
              <w:top w:val="single" w:color="auto" w:sz="4" w:space="0"/>
              <w:left w:val="single" w:color="auto" w:sz="4" w:space="0"/>
              <w:right w:val="single" w:color="auto" w:sz="4" w:space="0"/>
            </w:tcBorders>
            <w:vAlign w:val="center"/>
          </w:tcPr>
          <w:p w14:paraId="1F32B154">
            <w:pPr>
              <w:widowControl w:val="0"/>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暂存于危废间中，定期由有资质单位进行处理</w:t>
            </w:r>
          </w:p>
        </w:tc>
      </w:tr>
      <w:tr w14:paraId="61728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299" w:type="pct"/>
            <w:vMerge w:val="continue"/>
            <w:tcBorders>
              <w:left w:val="single" w:color="auto" w:sz="4" w:space="0"/>
              <w:right w:val="single" w:color="auto" w:sz="4" w:space="0"/>
            </w:tcBorders>
            <w:vAlign w:val="center"/>
          </w:tcPr>
          <w:p w14:paraId="03E0F545">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400" w:type="pct"/>
            <w:tcBorders>
              <w:top w:val="single" w:color="auto" w:sz="4" w:space="0"/>
              <w:left w:val="single" w:color="auto" w:sz="4" w:space="0"/>
              <w:bottom w:val="single" w:color="auto" w:sz="4" w:space="0"/>
              <w:right w:val="single" w:color="auto" w:sz="4" w:space="0"/>
            </w:tcBorders>
            <w:vAlign w:val="center"/>
          </w:tcPr>
          <w:p w14:paraId="60A629A2">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S15</w:t>
            </w:r>
          </w:p>
        </w:tc>
        <w:tc>
          <w:tcPr>
            <w:tcW w:w="964" w:type="pct"/>
            <w:vMerge w:val="continue"/>
            <w:tcBorders>
              <w:left w:val="single" w:color="auto" w:sz="4" w:space="0"/>
              <w:right w:val="single" w:color="auto" w:sz="4" w:space="0"/>
            </w:tcBorders>
            <w:vAlign w:val="center"/>
          </w:tcPr>
          <w:p w14:paraId="5AD5DF96">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p>
        </w:tc>
        <w:tc>
          <w:tcPr>
            <w:tcW w:w="1002" w:type="pct"/>
            <w:tcBorders>
              <w:left w:val="single" w:color="auto" w:sz="4" w:space="0"/>
              <w:right w:val="single" w:color="auto" w:sz="4" w:space="0"/>
            </w:tcBorders>
            <w:vAlign w:val="center"/>
          </w:tcPr>
          <w:p w14:paraId="6AB9926F">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废滤膜</w:t>
            </w:r>
          </w:p>
        </w:tc>
        <w:tc>
          <w:tcPr>
            <w:tcW w:w="385" w:type="pct"/>
            <w:vMerge w:val="continue"/>
            <w:tcBorders>
              <w:left w:val="single" w:color="auto" w:sz="4" w:space="0"/>
              <w:right w:val="single" w:color="auto" w:sz="4" w:space="0"/>
            </w:tcBorders>
            <w:vAlign w:val="center"/>
          </w:tcPr>
          <w:p w14:paraId="0C52C142">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687" w:type="pct"/>
            <w:tcBorders>
              <w:left w:val="single" w:color="auto" w:sz="4" w:space="0"/>
              <w:right w:val="single" w:color="auto" w:sz="4" w:space="0"/>
            </w:tcBorders>
            <w:vAlign w:val="center"/>
          </w:tcPr>
          <w:p w14:paraId="38366CD5">
            <w:pPr>
              <w:widowControl w:val="0"/>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袋装收集</w:t>
            </w:r>
          </w:p>
        </w:tc>
        <w:tc>
          <w:tcPr>
            <w:tcW w:w="1261" w:type="pct"/>
            <w:vMerge w:val="continue"/>
            <w:tcBorders>
              <w:left w:val="single" w:color="auto" w:sz="4" w:space="0"/>
              <w:right w:val="single" w:color="auto" w:sz="4" w:space="0"/>
            </w:tcBorders>
            <w:vAlign w:val="center"/>
          </w:tcPr>
          <w:p w14:paraId="18545A58">
            <w:pPr>
              <w:widowControl w:val="0"/>
              <w:adjustRightInd w:val="0"/>
              <w:snapToGrid w:val="0"/>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r>
      <w:tr w14:paraId="6EB07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299" w:type="pct"/>
            <w:vMerge w:val="continue"/>
            <w:tcBorders>
              <w:left w:val="single" w:color="auto" w:sz="4" w:space="0"/>
              <w:right w:val="single" w:color="auto" w:sz="4" w:space="0"/>
            </w:tcBorders>
            <w:vAlign w:val="center"/>
          </w:tcPr>
          <w:p w14:paraId="27C1E455">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400" w:type="pct"/>
            <w:tcBorders>
              <w:top w:val="single" w:color="auto" w:sz="4" w:space="0"/>
              <w:left w:val="single" w:color="auto" w:sz="4" w:space="0"/>
              <w:bottom w:val="single" w:color="auto" w:sz="4" w:space="0"/>
              <w:right w:val="single" w:color="auto" w:sz="4" w:space="0"/>
            </w:tcBorders>
            <w:vAlign w:val="center"/>
          </w:tcPr>
          <w:p w14:paraId="0E2FC95D">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S16</w:t>
            </w:r>
          </w:p>
        </w:tc>
        <w:tc>
          <w:tcPr>
            <w:tcW w:w="964" w:type="pct"/>
            <w:vMerge w:val="continue"/>
            <w:tcBorders>
              <w:left w:val="single" w:color="auto" w:sz="4" w:space="0"/>
              <w:right w:val="single" w:color="auto" w:sz="4" w:space="0"/>
            </w:tcBorders>
            <w:vAlign w:val="center"/>
          </w:tcPr>
          <w:p w14:paraId="6E51E3BA">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p>
        </w:tc>
        <w:tc>
          <w:tcPr>
            <w:tcW w:w="1002" w:type="pct"/>
            <w:tcBorders>
              <w:left w:val="single" w:color="auto" w:sz="4" w:space="0"/>
              <w:right w:val="single" w:color="auto" w:sz="4" w:space="0"/>
            </w:tcBorders>
            <w:vAlign w:val="center"/>
          </w:tcPr>
          <w:p w14:paraId="7340AE71">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废滤芯</w:t>
            </w:r>
          </w:p>
        </w:tc>
        <w:tc>
          <w:tcPr>
            <w:tcW w:w="385" w:type="pct"/>
            <w:vMerge w:val="continue"/>
            <w:tcBorders>
              <w:left w:val="single" w:color="auto" w:sz="4" w:space="0"/>
              <w:right w:val="single" w:color="auto" w:sz="4" w:space="0"/>
            </w:tcBorders>
            <w:vAlign w:val="center"/>
          </w:tcPr>
          <w:p w14:paraId="5767B7E6">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687" w:type="pct"/>
            <w:tcBorders>
              <w:left w:val="single" w:color="auto" w:sz="4" w:space="0"/>
              <w:right w:val="single" w:color="auto" w:sz="4" w:space="0"/>
            </w:tcBorders>
            <w:vAlign w:val="center"/>
          </w:tcPr>
          <w:p w14:paraId="1C30A752">
            <w:pPr>
              <w:widowControl w:val="0"/>
              <w:adjustRightInd w:val="0"/>
              <w:snapToGrid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袋装收集</w:t>
            </w:r>
          </w:p>
        </w:tc>
        <w:tc>
          <w:tcPr>
            <w:tcW w:w="1261" w:type="pct"/>
            <w:vMerge w:val="continue"/>
            <w:tcBorders>
              <w:left w:val="single" w:color="auto" w:sz="4" w:space="0"/>
              <w:right w:val="single" w:color="auto" w:sz="4" w:space="0"/>
            </w:tcBorders>
            <w:vAlign w:val="center"/>
          </w:tcPr>
          <w:p w14:paraId="59D6794B">
            <w:pPr>
              <w:widowControl w:val="0"/>
              <w:adjustRightInd w:val="0"/>
              <w:snapToGrid w:val="0"/>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r>
      <w:tr w14:paraId="31803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299" w:type="pct"/>
            <w:vMerge w:val="continue"/>
            <w:tcBorders>
              <w:left w:val="single" w:color="auto" w:sz="4" w:space="0"/>
              <w:right w:val="single" w:color="auto" w:sz="4" w:space="0"/>
            </w:tcBorders>
            <w:vAlign w:val="center"/>
          </w:tcPr>
          <w:p w14:paraId="0EF08CC8">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400" w:type="pct"/>
            <w:tcBorders>
              <w:top w:val="single" w:color="auto" w:sz="4" w:space="0"/>
              <w:left w:val="single" w:color="auto" w:sz="4" w:space="0"/>
              <w:bottom w:val="single" w:color="auto" w:sz="4" w:space="0"/>
              <w:right w:val="single" w:color="auto" w:sz="4" w:space="0"/>
            </w:tcBorders>
            <w:vAlign w:val="center"/>
          </w:tcPr>
          <w:p w14:paraId="6E3446FB">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S17</w:t>
            </w:r>
          </w:p>
        </w:tc>
        <w:tc>
          <w:tcPr>
            <w:tcW w:w="964" w:type="pct"/>
            <w:vMerge w:val="continue"/>
            <w:tcBorders>
              <w:left w:val="single" w:color="auto" w:sz="4" w:space="0"/>
              <w:right w:val="single" w:color="auto" w:sz="4" w:space="0"/>
            </w:tcBorders>
            <w:vAlign w:val="center"/>
          </w:tcPr>
          <w:p w14:paraId="062B2F33">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p>
        </w:tc>
        <w:tc>
          <w:tcPr>
            <w:tcW w:w="1002" w:type="pct"/>
            <w:tcBorders>
              <w:left w:val="single" w:color="auto" w:sz="4" w:space="0"/>
              <w:right w:val="single" w:color="auto" w:sz="4" w:space="0"/>
            </w:tcBorders>
            <w:vAlign w:val="center"/>
          </w:tcPr>
          <w:p w14:paraId="119D0D9F">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隔油池废油</w:t>
            </w:r>
          </w:p>
        </w:tc>
        <w:tc>
          <w:tcPr>
            <w:tcW w:w="385" w:type="pct"/>
            <w:vMerge w:val="continue"/>
            <w:tcBorders>
              <w:left w:val="single" w:color="auto" w:sz="4" w:space="0"/>
              <w:right w:val="single" w:color="auto" w:sz="4" w:space="0"/>
            </w:tcBorders>
            <w:vAlign w:val="center"/>
          </w:tcPr>
          <w:p w14:paraId="49FEE2FB">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687" w:type="pct"/>
            <w:tcBorders>
              <w:left w:val="single" w:color="auto" w:sz="4" w:space="0"/>
              <w:right w:val="single" w:color="auto" w:sz="4" w:space="0"/>
            </w:tcBorders>
            <w:vAlign w:val="center"/>
          </w:tcPr>
          <w:p w14:paraId="059633AE">
            <w:pPr>
              <w:widowControl w:val="0"/>
              <w:adjustRightInd w:val="0"/>
              <w:snapToGrid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桶装收集</w:t>
            </w:r>
          </w:p>
        </w:tc>
        <w:tc>
          <w:tcPr>
            <w:tcW w:w="1261" w:type="pct"/>
            <w:vMerge w:val="continue"/>
            <w:tcBorders>
              <w:left w:val="single" w:color="auto" w:sz="4" w:space="0"/>
              <w:right w:val="single" w:color="auto" w:sz="4" w:space="0"/>
            </w:tcBorders>
            <w:vAlign w:val="center"/>
          </w:tcPr>
          <w:p w14:paraId="26D08A39">
            <w:pPr>
              <w:widowControl w:val="0"/>
              <w:adjustRightInd w:val="0"/>
              <w:snapToGrid w:val="0"/>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r>
      <w:tr w14:paraId="7AF0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299" w:type="pct"/>
            <w:vMerge w:val="continue"/>
            <w:tcBorders>
              <w:left w:val="single" w:color="auto" w:sz="4" w:space="0"/>
              <w:right w:val="single" w:color="auto" w:sz="4" w:space="0"/>
            </w:tcBorders>
            <w:vAlign w:val="center"/>
          </w:tcPr>
          <w:p w14:paraId="0CD507F7">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400" w:type="pct"/>
            <w:tcBorders>
              <w:top w:val="single" w:color="auto" w:sz="4" w:space="0"/>
              <w:left w:val="single" w:color="auto" w:sz="4" w:space="0"/>
              <w:bottom w:val="single" w:color="auto" w:sz="4" w:space="0"/>
              <w:right w:val="single" w:color="auto" w:sz="4" w:space="0"/>
            </w:tcBorders>
            <w:vAlign w:val="center"/>
          </w:tcPr>
          <w:p w14:paraId="1AA7F702">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S18</w:t>
            </w:r>
          </w:p>
        </w:tc>
        <w:tc>
          <w:tcPr>
            <w:tcW w:w="964" w:type="pct"/>
            <w:vMerge w:val="continue"/>
            <w:tcBorders>
              <w:left w:val="single" w:color="auto" w:sz="4" w:space="0"/>
              <w:right w:val="single" w:color="auto" w:sz="4" w:space="0"/>
            </w:tcBorders>
            <w:vAlign w:val="center"/>
          </w:tcPr>
          <w:p w14:paraId="530F3F71">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p>
        </w:tc>
        <w:tc>
          <w:tcPr>
            <w:tcW w:w="1002" w:type="pct"/>
            <w:tcBorders>
              <w:left w:val="single" w:color="auto" w:sz="4" w:space="0"/>
              <w:right w:val="single" w:color="auto" w:sz="4" w:space="0"/>
            </w:tcBorders>
            <w:vAlign w:val="center"/>
          </w:tcPr>
          <w:p w14:paraId="521B2446">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污水处理站反渗透浓排水</w:t>
            </w:r>
          </w:p>
        </w:tc>
        <w:tc>
          <w:tcPr>
            <w:tcW w:w="385" w:type="pct"/>
            <w:vMerge w:val="continue"/>
            <w:tcBorders>
              <w:left w:val="single" w:color="auto" w:sz="4" w:space="0"/>
              <w:right w:val="single" w:color="auto" w:sz="4" w:space="0"/>
            </w:tcBorders>
            <w:vAlign w:val="center"/>
          </w:tcPr>
          <w:p w14:paraId="28559839">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687" w:type="pct"/>
            <w:tcBorders>
              <w:left w:val="single" w:color="auto" w:sz="4" w:space="0"/>
              <w:bottom w:val="single" w:color="auto" w:sz="4" w:space="0"/>
              <w:right w:val="single" w:color="auto" w:sz="4" w:space="0"/>
            </w:tcBorders>
            <w:vAlign w:val="center"/>
          </w:tcPr>
          <w:p w14:paraId="755A1FAD">
            <w:pPr>
              <w:widowControl w:val="0"/>
              <w:adjustRightInd w:val="0"/>
              <w:snapToGrid w:val="0"/>
              <w:jc w:val="cente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桶装收集</w:t>
            </w:r>
          </w:p>
        </w:tc>
        <w:tc>
          <w:tcPr>
            <w:tcW w:w="1261" w:type="pct"/>
            <w:vMerge w:val="continue"/>
            <w:tcBorders>
              <w:left w:val="single" w:color="auto" w:sz="4" w:space="0"/>
              <w:bottom w:val="single" w:color="auto" w:sz="4" w:space="0"/>
              <w:right w:val="single" w:color="auto" w:sz="4" w:space="0"/>
            </w:tcBorders>
            <w:vAlign w:val="center"/>
          </w:tcPr>
          <w:p w14:paraId="3496BD63">
            <w:pPr>
              <w:widowControl w:val="0"/>
              <w:adjustRightInd w:val="0"/>
              <w:snapToGrid w:val="0"/>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r>
      <w:tr w14:paraId="291D7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299" w:type="pct"/>
            <w:vMerge w:val="continue"/>
            <w:tcBorders>
              <w:left w:val="single" w:color="auto" w:sz="4" w:space="0"/>
              <w:right w:val="single" w:color="auto" w:sz="4" w:space="0"/>
            </w:tcBorders>
            <w:vAlign w:val="center"/>
          </w:tcPr>
          <w:p w14:paraId="4D73ED55">
            <w:pPr>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400" w:type="pct"/>
            <w:tcBorders>
              <w:top w:val="single" w:color="auto" w:sz="4" w:space="0"/>
              <w:left w:val="single" w:color="auto" w:sz="4" w:space="0"/>
              <w:bottom w:val="single" w:color="auto" w:sz="4" w:space="0"/>
              <w:right w:val="single" w:color="auto" w:sz="4" w:space="0"/>
            </w:tcBorders>
            <w:vAlign w:val="center"/>
          </w:tcPr>
          <w:p w14:paraId="2D355DB4">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S19</w:t>
            </w:r>
          </w:p>
        </w:tc>
        <w:tc>
          <w:tcPr>
            <w:tcW w:w="964" w:type="pct"/>
            <w:tcBorders>
              <w:left w:val="single" w:color="auto" w:sz="4" w:space="0"/>
              <w:right w:val="single" w:color="auto" w:sz="4" w:space="0"/>
            </w:tcBorders>
            <w:vAlign w:val="center"/>
          </w:tcPr>
          <w:p w14:paraId="37281BDC">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生活垃圾</w:t>
            </w:r>
          </w:p>
        </w:tc>
        <w:tc>
          <w:tcPr>
            <w:tcW w:w="1002" w:type="pct"/>
            <w:tcBorders>
              <w:left w:val="single" w:color="auto" w:sz="4" w:space="0"/>
              <w:right w:val="single" w:color="auto" w:sz="4" w:space="0"/>
            </w:tcBorders>
            <w:vAlign w:val="center"/>
          </w:tcPr>
          <w:p w14:paraId="364DF351">
            <w:pPr>
              <w:widowControl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生活垃圾</w:t>
            </w:r>
          </w:p>
        </w:tc>
        <w:tc>
          <w:tcPr>
            <w:tcW w:w="385" w:type="pct"/>
            <w:vMerge w:val="continue"/>
            <w:tcBorders>
              <w:left w:val="single" w:color="auto" w:sz="4" w:space="0"/>
              <w:bottom w:val="single" w:color="auto" w:sz="4" w:space="0"/>
              <w:right w:val="single" w:color="auto" w:sz="4" w:space="0"/>
            </w:tcBorders>
            <w:vAlign w:val="center"/>
          </w:tcPr>
          <w:p w14:paraId="3921AE98">
            <w:pPr>
              <w:widowControl w:val="0"/>
              <w:jc w:val="center"/>
              <w:rPr>
                <w:rFonts w:hint="default" w:ascii="Times New Roman" w:hAnsi="Times New Roman" w:eastAsia="宋体" w:cs="Times New Roman"/>
                <w:color w:val="000000" w:themeColor="text1"/>
                <w:szCs w:val="21"/>
                <w:highlight w:val="none"/>
                <w14:textFill>
                  <w14:solidFill>
                    <w14:schemeClr w14:val="tx1"/>
                  </w14:solidFill>
                </w14:textFill>
              </w:rPr>
            </w:pPr>
          </w:p>
        </w:tc>
        <w:tc>
          <w:tcPr>
            <w:tcW w:w="687" w:type="pct"/>
            <w:tcBorders>
              <w:top w:val="single" w:color="auto" w:sz="4" w:space="0"/>
              <w:left w:val="single" w:color="auto" w:sz="4" w:space="0"/>
              <w:bottom w:val="single" w:color="auto" w:sz="4" w:space="0"/>
              <w:right w:val="single" w:color="auto" w:sz="4" w:space="0"/>
            </w:tcBorders>
            <w:vAlign w:val="center"/>
          </w:tcPr>
          <w:p w14:paraId="289DB14F">
            <w:pPr>
              <w:widowControl w:val="0"/>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袋装收集</w:t>
            </w:r>
          </w:p>
        </w:tc>
        <w:tc>
          <w:tcPr>
            <w:tcW w:w="1261" w:type="pct"/>
            <w:tcBorders>
              <w:top w:val="single" w:color="auto" w:sz="4" w:space="0"/>
              <w:left w:val="single" w:color="auto" w:sz="4" w:space="0"/>
              <w:bottom w:val="single" w:color="auto" w:sz="4" w:space="0"/>
              <w:right w:val="single" w:color="auto" w:sz="4" w:space="0"/>
            </w:tcBorders>
            <w:vAlign w:val="center"/>
          </w:tcPr>
          <w:p w14:paraId="3833F4DE">
            <w:pPr>
              <w:widowControl w:val="0"/>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市政环卫部门清运</w:t>
            </w:r>
          </w:p>
        </w:tc>
      </w:tr>
    </w:tbl>
    <w:p w14:paraId="66C7B590">
      <w:pPr>
        <w:pStyle w:val="5"/>
        <w:keepNext/>
        <w:keepLines/>
        <w:pageBreakBefore w:val="0"/>
        <w:widowControl w:val="0"/>
        <w:kinsoku/>
        <w:wordWrap/>
        <w:overflowPunct/>
        <w:topLinePunct w:val="0"/>
        <w:autoSpaceDE/>
        <w:autoSpaceDN/>
        <w:bidi w:val="0"/>
        <w:adjustRightInd/>
        <w:snapToGrid/>
        <w:spacing w:before="0" w:after="0" w:line="480" w:lineRule="exact"/>
        <w:textAlignment w:val="auto"/>
        <w:rPr>
          <w:rFonts w:hint="eastAsia" w:ascii="宋体" w:hAnsi="宋体" w:eastAsia="宋体" w:cs="宋体"/>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3.6</w:t>
      </w:r>
      <w:r>
        <w:rPr>
          <w:rFonts w:hint="eastAsia" w:ascii="宋体" w:hAnsi="宋体" w:eastAsia="宋体" w:cs="宋体"/>
          <w:color w:val="000000" w:themeColor="text1"/>
          <w:highlight w:val="none"/>
          <w14:textFill>
            <w14:solidFill>
              <w14:schemeClr w14:val="tx1"/>
            </w14:solidFill>
          </w14:textFill>
        </w:rPr>
        <w:t>劳动定员及工作制度</w:t>
      </w:r>
      <w:bookmarkEnd w:id="13"/>
    </w:p>
    <w:p w14:paraId="3E3BCB6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highlight w:val="none"/>
        </w:rPr>
      </w:pPr>
      <w:bookmarkStart w:id="14" w:name="_Toc30827"/>
      <w:r>
        <w:rPr>
          <w:rFonts w:hint="default" w:ascii="Times New Roman" w:hAnsi="Times New Roman" w:eastAsia="宋体" w:cs="Times New Roman"/>
          <w:color w:val="auto"/>
          <w:sz w:val="24"/>
          <w:szCs w:val="24"/>
          <w:highlight w:val="none"/>
        </w:rPr>
        <w:t>本项目劳动定员</w:t>
      </w:r>
      <w:r>
        <w:rPr>
          <w:rFonts w:hint="eastAsia" w:ascii="Times New Roman" w:hAnsi="Times New Roman" w:eastAsia="宋体" w:cs="Times New Roman"/>
          <w:color w:val="auto"/>
          <w:sz w:val="24"/>
          <w:szCs w:val="24"/>
          <w:highlight w:val="none"/>
          <w:lang w:val="en-US" w:eastAsia="zh-CN"/>
        </w:rPr>
        <w:t>15</w:t>
      </w:r>
      <w:r>
        <w:rPr>
          <w:rFonts w:hint="default" w:ascii="Times New Roman" w:hAnsi="Times New Roman" w:eastAsia="宋体" w:cs="Times New Roman"/>
          <w:color w:val="auto"/>
          <w:sz w:val="24"/>
          <w:szCs w:val="24"/>
          <w:highlight w:val="none"/>
        </w:rPr>
        <w:t>人，</w:t>
      </w:r>
      <w:r>
        <w:rPr>
          <w:rFonts w:hint="eastAsia" w:ascii="Times New Roman" w:hAnsi="Times New Roman" w:eastAsia="宋体" w:cs="Times New Roman"/>
          <w:color w:val="auto"/>
          <w:sz w:val="24"/>
          <w:szCs w:val="24"/>
          <w:highlight w:val="none"/>
        </w:rPr>
        <w:t>每天</w:t>
      </w:r>
      <w:r>
        <w:rPr>
          <w:rFonts w:hint="eastAsia" w:ascii="Times New Roman" w:hAnsi="Times New Roman" w:eastAsia="宋体" w:cs="Times New Roman"/>
          <w:color w:val="auto"/>
          <w:sz w:val="24"/>
          <w:szCs w:val="24"/>
          <w:highlight w:val="none"/>
          <w:lang w:val="en-US" w:eastAsia="zh-CN"/>
        </w:rPr>
        <w:t>一</w:t>
      </w:r>
      <w:r>
        <w:rPr>
          <w:rFonts w:hint="default" w:ascii="Times New Roman" w:hAnsi="Times New Roman" w:eastAsia="宋体" w:cs="Times New Roman"/>
          <w:color w:val="auto"/>
          <w:sz w:val="24"/>
          <w:szCs w:val="24"/>
          <w:highlight w:val="none"/>
        </w:rPr>
        <w:t>班，每班工作8h，年工作</w:t>
      </w:r>
      <w:r>
        <w:rPr>
          <w:rFonts w:hint="eastAsia" w:ascii="Times New Roman" w:hAnsi="Times New Roman" w:eastAsia="宋体" w:cs="Times New Roman"/>
          <w:color w:val="auto"/>
          <w:sz w:val="24"/>
          <w:szCs w:val="24"/>
          <w:highlight w:val="none"/>
          <w:lang w:val="en-US" w:eastAsia="zh-CN"/>
        </w:rPr>
        <w:t>250</w:t>
      </w:r>
      <w:r>
        <w:rPr>
          <w:rFonts w:hint="default" w:ascii="Times New Roman" w:hAnsi="Times New Roman" w:eastAsia="宋体" w:cs="Times New Roman"/>
          <w:color w:val="auto"/>
          <w:sz w:val="24"/>
          <w:szCs w:val="24"/>
          <w:highlight w:val="none"/>
        </w:rPr>
        <w:t>天</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阳极氧化4h/d，年工作1000h</w:t>
      </w:r>
      <w:r>
        <w:rPr>
          <w:rFonts w:hint="default" w:ascii="Times New Roman" w:hAnsi="Times New Roman" w:eastAsia="宋体" w:cs="Times New Roman"/>
          <w:color w:val="auto"/>
          <w:sz w:val="24"/>
          <w:szCs w:val="24"/>
          <w:highlight w:val="none"/>
        </w:rPr>
        <w:t>。</w:t>
      </w:r>
    </w:p>
    <w:p w14:paraId="047A50C0">
      <w:pPr>
        <w:pStyle w:val="5"/>
        <w:keepNext/>
        <w:keepLines/>
        <w:pageBreakBefore w:val="0"/>
        <w:widowControl w:val="0"/>
        <w:kinsoku/>
        <w:wordWrap/>
        <w:overflowPunct/>
        <w:topLinePunct w:val="0"/>
        <w:autoSpaceDE/>
        <w:autoSpaceDN/>
        <w:bidi w:val="0"/>
        <w:adjustRightInd/>
        <w:snapToGrid/>
        <w:spacing w:before="0" w:after="0" w:line="480" w:lineRule="exact"/>
        <w:textAlignment w:val="auto"/>
        <w:rPr>
          <w:rFonts w:hint="eastAsia" w:ascii="宋体" w:hAnsi="宋体" w:eastAsia="宋体" w:cs="宋体"/>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3.7</w:t>
      </w:r>
      <w:r>
        <w:rPr>
          <w:rFonts w:hint="eastAsia" w:ascii="宋体" w:hAnsi="宋体" w:eastAsia="宋体" w:cs="宋体"/>
          <w:color w:val="000000" w:themeColor="text1"/>
          <w:highlight w:val="none"/>
          <w14:textFill>
            <w14:solidFill>
              <w14:schemeClr w14:val="tx1"/>
            </w14:solidFill>
          </w14:textFill>
        </w:rPr>
        <w:t>项目投资</w:t>
      </w:r>
      <w:bookmarkEnd w:id="14"/>
    </w:p>
    <w:p w14:paraId="151C365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本</w:t>
      </w:r>
      <w:r>
        <w:rPr>
          <w:rFonts w:hint="default" w:ascii="Times New Roman" w:hAnsi="Times New Roman" w:eastAsia="宋体" w:cs="Times New Roman"/>
          <w:color w:val="auto"/>
          <w:sz w:val="24"/>
          <w:szCs w:val="24"/>
          <w:highlight w:val="none"/>
        </w:rPr>
        <w:t>项目总投资</w:t>
      </w:r>
      <w:r>
        <w:rPr>
          <w:rFonts w:hint="eastAsia" w:ascii="Times New Roman" w:hAnsi="Times New Roman" w:eastAsia="宋体" w:cs="Times New Roman"/>
          <w:color w:val="auto"/>
          <w:sz w:val="24"/>
          <w:szCs w:val="24"/>
          <w:highlight w:val="none"/>
          <w:lang w:val="en-US" w:eastAsia="zh-CN"/>
        </w:rPr>
        <w:t>25</w:t>
      </w:r>
      <w:r>
        <w:rPr>
          <w:rFonts w:hint="eastAsia" w:ascii="Times New Roman" w:hAnsi="Times New Roman" w:eastAsia="宋体" w:cs="Times New Roman"/>
          <w:color w:val="auto"/>
          <w:sz w:val="24"/>
          <w:szCs w:val="24"/>
          <w:highlight w:val="none"/>
        </w:rPr>
        <w:t>00</w:t>
      </w:r>
      <w:r>
        <w:rPr>
          <w:rFonts w:hint="default" w:ascii="Times New Roman" w:hAnsi="Times New Roman" w:eastAsia="宋体" w:cs="Times New Roman"/>
          <w:color w:val="auto"/>
          <w:sz w:val="24"/>
          <w:szCs w:val="24"/>
          <w:highlight w:val="none"/>
        </w:rPr>
        <w:t>万元，其中环保投资共计</w:t>
      </w:r>
      <w:r>
        <w:rPr>
          <w:rFonts w:hint="eastAsia" w:ascii="Times New Roman" w:hAnsi="Times New Roman" w:eastAsia="宋体" w:cs="Times New Roman"/>
          <w:color w:val="auto"/>
          <w:sz w:val="24"/>
          <w:szCs w:val="24"/>
          <w:highlight w:val="none"/>
          <w:lang w:val="en-US" w:eastAsia="zh-CN"/>
        </w:rPr>
        <w:t>51</w:t>
      </w:r>
      <w:r>
        <w:rPr>
          <w:rFonts w:hint="default" w:ascii="Times New Roman" w:hAnsi="Times New Roman" w:eastAsia="宋体" w:cs="Times New Roman"/>
          <w:color w:val="auto"/>
          <w:sz w:val="24"/>
          <w:szCs w:val="24"/>
          <w:highlight w:val="none"/>
        </w:rPr>
        <w:t>万元，占总投资的</w:t>
      </w:r>
      <w:r>
        <w:rPr>
          <w:rFonts w:hint="eastAsia" w:ascii="Times New Roman" w:hAnsi="Times New Roman" w:eastAsia="宋体" w:cs="Times New Roman"/>
          <w:color w:val="auto"/>
          <w:sz w:val="24"/>
          <w:szCs w:val="24"/>
          <w:highlight w:val="none"/>
          <w:lang w:val="en-US" w:eastAsia="zh-CN"/>
        </w:rPr>
        <w:t>2.04</w:t>
      </w:r>
      <w:r>
        <w:rPr>
          <w:rFonts w:hint="default" w:ascii="Times New Roman" w:hAnsi="Times New Roman" w:eastAsia="宋体" w:cs="Times New Roman"/>
          <w:color w:val="auto"/>
          <w:sz w:val="24"/>
          <w:szCs w:val="24"/>
          <w:highlight w:val="none"/>
        </w:rPr>
        <w:t>%。</w:t>
      </w:r>
    </w:p>
    <w:p w14:paraId="21593CC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本</w:t>
      </w:r>
      <w:r>
        <w:rPr>
          <w:rFonts w:hint="default" w:ascii="Times New Roman" w:hAnsi="Times New Roman" w:eastAsia="宋体" w:cs="Times New Roman"/>
          <w:color w:val="auto"/>
          <w:sz w:val="24"/>
          <w:szCs w:val="24"/>
          <w:highlight w:val="none"/>
        </w:rPr>
        <w:t>项目</w:t>
      </w:r>
      <w:r>
        <w:rPr>
          <w:rFonts w:hint="eastAsia" w:ascii="Times New Roman" w:hAnsi="Times New Roman" w:eastAsia="宋体" w:cs="Times New Roman"/>
          <w:color w:val="auto"/>
          <w:sz w:val="24"/>
          <w:szCs w:val="24"/>
          <w:highlight w:val="none"/>
          <w:lang w:val="en-US" w:eastAsia="zh-CN"/>
        </w:rPr>
        <w:t>实际</w:t>
      </w:r>
      <w:r>
        <w:rPr>
          <w:rFonts w:hint="default" w:ascii="Times New Roman" w:hAnsi="Times New Roman" w:eastAsia="宋体" w:cs="Times New Roman"/>
          <w:color w:val="auto"/>
          <w:sz w:val="24"/>
          <w:szCs w:val="24"/>
          <w:highlight w:val="none"/>
        </w:rPr>
        <w:t>总投资</w:t>
      </w:r>
      <w:r>
        <w:rPr>
          <w:rFonts w:hint="eastAsia" w:ascii="Times New Roman" w:hAnsi="Times New Roman" w:eastAsia="宋体" w:cs="Times New Roman"/>
          <w:color w:val="auto"/>
          <w:sz w:val="24"/>
          <w:szCs w:val="24"/>
          <w:highlight w:val="none"/>
          <w:lang w:val="en-US" w:eastAsia="zh-CN"/>
        </w:rPr>
        <w:t>2000</w:t>
      </w:r>
      <w:r>
        <w:rPr>
          <w:rFonts w:hint="default" w:ascii="Times New Roman" w:hAnsi="Times New Roman" w:eastAsia="宋体" w:cs="Times New Roman"/>
          <w:color w:val="auto"/>
          <w:sz w:val="24"/>
          <w:szCs w:val="24"/>
          <w:highlight w:val="none"/>
        </w:rPr>
        <w:t>万元，其中环保投资共计</w:t>
      </w:r>
      <w:r>
        <w:rPr>
          <w:rFonts w:hint="eastAsia" w:ascii="Times New Roman" w:hAnsi="Times New Roman" w:eastAsia="宋体" w:cs="Times New Roman"/>
          <w:color w:val="auto"/>
          <w:sz w:val="24"/>
          <w:szCs w:val="24"/>
          <w:highlight w:val="none"/>
          <w:lang w:val="en-US" w:eastAsia="zh-CN"/>
        </w:rPr>
        <w:t>38</w:t>
      </w:r>
      <w:r>
        <w:rPr>
          <w:rFonts w:hint="default" w:ascii="Times New Roman" w:hAnsi="Times New Roman" w:eastAsia="宋体" w:cs="Times New Roman"/>
          <w:color w:val="auto"/>
          <w:sz w:val="24"/>
          <w:szCs w:val="24"/>
          <w:highlight w:val="none"/>
        </w:rPr>
        <w:t>万元，占总投资的</w:t>
      </w:r>
      <w:r>
        <w:rPr>
          <w:rFonts w:hint="eastAsia" w:ascii="Times New Roman" w:hAnsi="Times New Roman" w:eastAsia="宋体" w:cs="Times New Roman"/>
          <w:color w:val="auto"/>
          <w:sz w:val="24"/>
          <w:szCs w:val="24"/>
          <w:highlight w:val="none"/>
          <w:lang w:val="en-US" w:eastAsia="zh-CN"/>
        </w:rPr>
        <w:t>1.9</w:t>
      </w:r>
      <w:r>
        <w:rPr>
          <w:rFonts w:hint="default" w:ascii="Times New Roman" w:hAnsi="Times New Roman" w:eastAsia="宋体" w:cs="Times New Roman"/>
          <w:color w:val="auto"/>
          <w:sz w:val="24"/>
          <w:szCs w:val="24"/>
          <w:highlight w:val="none"/>
        </w:rPr>
        <w:t>%。</w:t>
      </w:r>
    </w:p>
    <w:p w14:paraId="29767C23">
      <w:pPr>
        <w:pStyle w:val="9"/>
        <w:keepNext w:val="0"/>
        <w:keepLines w:val="0"/>
        <w:pageBreakBefore w:val="0"/>
        <w:widowControl w:val="0"/>
        <w:kinsoku/>
        <w:wordWrap/>
        <w:overflowPunct/>
        <w:topLinePunct w:val="0"/>
        <w:autoSpaceDE/>
        <w:autoSpaceDN/>
        <w:bidi w:val="0"/>
        <w:adjustRightInd/>
        <w:snapToGrid/>
        <w:spacing w:line="480" w:lineRule="exact"/>
        <w:ind w:firstLine="482"/>
        <w:jc w:val="center"/>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表3-</w:t>
      </w:r>
      <w:r>
        <w:rPr>
          <w:rFonts w:hint="eastAsia" w:ascii="Times New Roman" w:hAnsi="Times New Roman" w:eastAsia="宋体" w:cs="Times New Roman"/>
          <w:b/>
          <w:color w:val="auto"/>
          <w:sz w:val="24"/>
          <w:szCs w:val="24"/>
          <w:highlight w:val="none"/>
          <w:lang w:val="en-US" w:eastAsia="zh-CN"/>
        </w:rPr>
        <w:t>8</w:t>
      </w:r>
      <w:r>
        <w:rPr>
          <w:rFonts w:hint="default" w:ascii="Times New Roman" w:hAnsi="Times New Roman" w:eastAsia="宋体" w:cs="Times New Roman"/>
          <w:b/>
          <w:color w:val="auto"/>
          <w:sz w:val="24"/>
          <w:szCs w:val="24"/>
          <w:highlight w:val="none"/>
          <w:lang w:val="en-US" w:eastAsia="zh-CN"/>
        </w:rPr>
        <w:t xml:space="preserve">  </w:t>
      </w:r>
      <w:r>
        <w:rPr>
          <w:rFonts w:hint="default" w:ascii="Times New Roman" w:hAnsi="Times New Roman" w:eastAsia="宋体" w:cs="Times New Roman"/>
          <w:b/>
          <w:color w:val="auto"/>
          <w:sz w:val="24"/>
          <w:szCs w:val="24"/>
          <w:highlight w:val="none"/>
        </w:rPr>
        <w:t>项目环保投资情况一览表</w:t>
      </w:r>
    </w:p>
    <w:tbl>
      <w:tblPr>
        <w:tblStyle w:val="32"/>
        <w:tblW w:w="8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5"/>
        <w:gridCol w:w="2619"/>
        <w:gridCol w:w="2715"/>
        <w:gridCol w:w="1499"/>
      </w:tblGrid>
      <w:tr w14:paraId="6CED8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805" w:type="dxa"/>
            <w:noWrap w:val="0"/>
            <w:vAlign w:val="center"/>
          </w:tcPr>
          <w:p w14:paraId="2414103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环保设施</w:t>
            </w:r>
          </w:p>
        </w:tc>
        <w:tc>
          <w:tcPr>
            <w:tcW w:w="2619" w:type="dxa"/>
            <w:noWrap w:val="0"/>
            <w:vAlign w:val="center"/>
          </w:tcPr>
          <w:p w14:paraId="446C5A4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设计投资金额（万元）</w:t>
            </w:r>
          </w:p>
        </w:tc>
        <w:tc>
          <w:tcPr>
            <w:tcW w:w="2715" w:type="dxa"/>
            <w:noWrap w:val="0"/>
            <w:vAlign w:val="center"/>
          </w:tcPr>
          <w:p w14:paraId="4440D60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实际投资金额（万元）</w:t>
            </w:r>
          </w:p>
        </w:tc>
        <w:tc>
          <w:tcPr>
            <w:tcW w:w="1499" w:type="dxa"/>
            <w:noWrap w:val="0"/>
            <w:vAlign w:val="center"/>
          </w:tcPr>
          <w:p w14:paraId="00CD4DA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投资变化</w:t>
            </w:r>
          </w:p>
        </w:tc>
      </w:tr>
      <w:tr w14:paraId="41522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05" w:type="dxa"/>
            <w:noWrap w:val="0"/>
            <w:vAlign w:val="center"/>
          </w:tcPr>
          <w:p w14:paraId="5F32807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废水治理</w:t>
            </w:r>
          </w:p>
        </w:tc>
        <w:tc>
          <w:tcPr>
            <w:tcW w:w="2619" w:type="dxa"/>
            <w:noWrap w:val="0"/>
            <w:vAlign w:val="center"/>
          </w:tcPr>
          <w:p w14:paraId="458C0A8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25</w:t>
            </w:r>
          </w:p>
        </w:tc>
        <w:tc>
          <w:tcPr>
            <w:tcW w:w="2715" w:type="dxa"/>
            <w:noWrap w:val="0"/>
            <w:vAlign w:val="center"/>
          </w:tcPr>
          <w:p w14:paraId="3A04133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16</w:t>
            </w:r>
          </w:p>
        </w:tc>
        <w:tc>
          <w:tcPr>
            <w:tcW w:w="1499" w:type="dxa"/>
            <w:noWrap w:val="0"/>
            <w:vAlign w:val="center"/>
          </w:tcPr>
          <w:p w14:paraId="70A6511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无</w:t>
            </w:r>
          </w:p>
        </w:tc>
      </w:tr>
      <w:tr w14:paraId="34C9B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05" w:type="dxa"/>
            <w:noWrap w:val="0"/>
            <w:vAlign w:val="center"/>
          </w:tcPr>
          <w:p w14:paraId="3B94724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噪声治理</w:t>
            </w:r>
          </w:p>
        </w:tc>
        <w:tc>
          <w:tcPr>
            <w:tcW w:w="2619" w:type="dxa"/>
            <w:noWrap w:val="0"/>
            <w:vAlign w:val="center"/>
          </w:tcPr>
          <w:p w14:paraId="1DA3E42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6</w:t>
            </w:r>
          </w:p>
        </w:tc>
        <w:tc>
          <w:tcPr>
            <w:tcW w:w="2715" w:type="dxa"/>
            <w:noWrap w:val="0"/>
            <w:vAlign w:val="center"/>
          </w:tcPr>
          <w:p w14:paraId="5AAF08F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6</w:t>
            </w:r>
          </w:p>
        </w:tc>
        <w:tc>
          <w:tcPr>
            <w:tcW w:w="1499" w:type="dxa"/>
            <w:noWrap w:val="0"/>
            <w:vAlign w:val="center"/>
          </w:tcPr>
          <w:p w14:paraId="583E922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无</w:t>
            </w:r>
          </w:p>
        </w:tc>
      </w:tr>
      <w:tr w14:paraId="455F1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05" w:type="dxa"/>
            <w:noWrap w:val="0"/>
            <w:vAlign w:val="center"/>
          </w:tcPr>
          <w:p w14:paraId="7800433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废气治理</w:t>
            </w:r>
          </w:p>
        </w:tc>
        <w:tc>
          <w:tcPr>
            <w:tcW w:w="2619" w:type="dxa"/>
            <w:noWrap w:val="0"/>
            <w:vAlign w:val="center"/>
          </w:tcPr>
          <w:p w14:paraId="427F79D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12</w:t>
            </w:r>
          </w:p>
        </w:tc>
        <w:tc>
          <w:tcPr>
            <w:tcW w:w="2715" w:type="dxa"/>
            <w:noWrap w:val="0"/>
            <w:vAlign w:val="center"/>
          </w:tcPr>
          <w:p w14:paraId="145FDB3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10</w:t>
            </w:r>
          </w:p>
        </w:tc>
        <w:tc>
          <w:tcPr>
            <w:tcW w:w="1499" w:type="dxa"/>
            <w:noWrap w:val="0"/>
            <w:vAlign w:val="center"/>
          </w:tcPr>
          <w:p w14:paraId="5D5A402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无</w:t>
            </w:r>
          </w:p>
        </w:tc>
      </w:tr>
      <w:tr w14:paraId="399EF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05" w:type="dxa"/>
            <w:noWrap w:val="0"/>
            <w:vAlign w:val="center"/>
          </w:tcPr>
          <w:p w14:paraId="690E3DC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固体废物治理</w:t>
            </w:r>
          </w:p>
        </w:tc>
        <w:tc>
          <w:tcPr>
            <w:tcW w:w="2619" w:type="dxa"/>
            <w:noWrap w:val="0"/>
            <w:vAlign w:val="center"/>
          </w:tcPr>
          <w:p w14:paraId="6B5CCA1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8</w:t>
            </w:r>
          </w:p>
        </w:tc>
        <w:tc>
          <w:tcPr>
            <w:tcW w:w="2715" w:type="dxa"/>
            <w:noWrap w:val="0"/>
            <w:vAlign w:val="center"/>
          </w:tcPr>
          <w:p w14:paraId="1320EE3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6</w:t>
            </w:r>
          </w:p>
        </w:tc>
        <w:tc>
          <w:tcPr>
            <w:tcW w:w="1499" w:type="dxa"/>
            <w:noWrap w:val="0"/>
            <w:vAlign w:val="center"/>
          </w:tcPr>
          <w:p w14:paraId="4173BAD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无</w:t>
            </w:r>
          </w:p>
        </w:tc>
      </w:tr>
      <w:tr w14:paraId="6D708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05" w:type="dxa"/>
            <w:noWrap w:val="0"/>
            <w:vAlign w:val="center"/>
          </w:tcPr>
          <w:p w14:paraId="748E23B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合计</w:t>
            </w:r>
          </w:p>
        </w:tc>
        <w:tc>
          <w:tcPr>
            <w:tcW w:w="2619" w:type="dxa"/>
            <w:noWrap w:val="0"/>
            <w:vAlign w:val="center"/>
          </w:tcPr>
          <w:p w14:paraId="12C273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51</w:t>
            </w:r>
          </w:p>
        </w:tc>
        <w:tc>
          <w:tcPr>
            <w:tcW w:w="2715" w:type="dxa"/>
            <w:noWrap w:val="0"/>
            <w:vAlign w:val="center"/>
          </w:tcPr>
          <w:p w14:paraId="22CF1DF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37</w:t>
            </w:r>
          </w:p>
        </w:tc>
        <w:tc>
          <w:tcPr>
            <w:tcW w:w="1499" w:type="dxa"/>
            <w:noWrap w:val="0"/>
            <w:vAlign w:val="center"/>
          </w:tcPr>
          <w:p w14:paraId="0FF9F0C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无</w:t>
            </w:r>
          </w:p>
        </w:tc>
      </w:tr>
    </w:tbl>
    <w:p w14:paraId="50FB8479">
      <w:pPr>
        <w:pStyle w:val="5"/>
        <w:keepNext/>
        <w:keepLines/>
        <w:pageBreakBefore w:val="0"/>
        <w:widowControl w:val="0"/>
        <w:kinsoku/>
        <w:wordWrap/>
        <w:overflowPunct/>
        <w:topLinePunct w:val="0"/>
        <w:autoSpaceDE/>
        <w:autoSpaceDN/>
        <w:bidi w:val="0"/>
        <w:adjustRightInd/>
        <w:snapToGrid/>
        <w:spacing w:before="0" w:after="0" w:line="480" w:lineRule="exact"/>
        <w:textAlignment w:val="auto"/>
        <w:rPr>
          <w:rFonts w:hint="eastAsia" w:ascii="宋体" w:hAnsi="宋体" w:eastAsia="宋体" w:cs="宋体"/>
          <w:color w:val="000000" w:themeColor="text1"/>
          <w:highlight w:val="none"/>
          <w14:textFill>
            <w14:solidFill>
              <w14:schemeClr w14:val="tx1"/>
            </w14:solidFill>
          </w14:textFill>
        </w:rPr>
      </w:pPr>
      <w:bookmarkStart w:id="15" w:name="_Toc531"/>
      <w:r>
        <w:rPr>
          <w:rFonts w:hint="default" w:ascii="Times New Roman" w:hAnsi="Times New Roman" w:eastAsia="宋体" w:cs="Times New Roman"/>
          <w:color w:val="000000" w:themeColor="text1"/>
          <w:highlight w:val="none"/>
          <w14:textFill>
            <w14:solidFill>
              <w14:schemeClr w14:val="tx1"/>
            </w14:solidFill>
          </w14:textFill>
        </w:rPr>
        <w:t>3.8</w:t>
      </w:r>
      <w:r>
        <w:rPr>
          <w:rFonts w:hint="eastAsia" w:ascii="宋体" w:hAnsi="宋体" w:eastAsia="宋体" w:cs="宋体"/>
          <w:color w:val="000000" w:themeColor="text1"/>
          <w:highlight w:val="none"/>
          <w14:textFill>
            <w14:solidFill>
              <w14:schemeClr w14:val="tx1"/>
            </w14:solidFill>
          </w14:textFill>
        </w:rPr>
        <w:t>项目变动情况</w:t>
      </w:r>
      <w:bookmarkEnd w:id="15"/>
    </w:p>
    <w:p w14:paraId="0818D50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Theme="minorEastAsia"/>
          <w:color w:val="auto"/>
          <w:sz w:val="24"/>
          <w:szCs w:val="24"/>
          <w:highlight w:val="none"/>
        </w:rPr>
      </w:pPr>
      <w:r>
        <w:rPr>
          <w:rFonts w:hint="eastAsia" w:ascii="Times New Roman" w:hAnsi="Times New Roman" w:eastAsiaTheme="minorEastAsia"/>
          <w:color w:val="auto"/>
          <w:sz w:val="24"/>
          <w:szCs w:val="24"/>
          <w:highlight w:val="none"/>
        </w:rPr>
        <w:t>经现场调查和与建设单位核实，本项目建设情况</w:t>
      </w:r>
      <w:r>
        <w:rPr>
          <w:rFonts w:hint="eastAsia" w:ascii="Times New Roman" w:hAnsi="Times New Roman" w:eastAsiaTheme="minorEastAsia"/>
          <w:color w:val="auto"/>
          <w:sz w:val="24"/>
          <w:szCs w:val="24"/>
          <w:highlight w:val="none"/>
          <w:lang w:val="en-US" w:eastAsia="zh-CN"/>
        </w:rPr>
        <w:t>发生变动如下。</w:t>
      </w:r>
    </w:p>
    <w:p w14:paraId="509F7BE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Theme="minorEastAsia"/>
          <w:color w:val="auto"/>
          <w:sz w:val="24"/>
          <w:szCs w:val="24"/>
          <w:highlight w:val="none"/>
          <w:lang w:val="en-US" w:eastAsia="zh-CN"/>
        </w:rPr>
      </w:pPr>
      <w:r>
        <w:rPr>
          <w:rFonts w:hint="default" w:ascii="Times New Roman" w:hAnsi="Times New Roman" w:eastAsiaTheme="minorEastAsia"/>
          <w:color w:val="auto"/>
          <w:sz w:val="24"/>
          <w:szCs w:val="24"/>
          <w:highlight w:val="none"/>
        </w:rPr>
        <w:t>1</w:t>
      </w:r>
      <w:r>
        <w:rPr>
          <w:rFonts w:hint="eastAsia" w:ascii="Times New Roman" w:hAnsi="Times New Roman" w:eastAsiaTheme="minorEastAsia"/>
          <w:color w:val="auto"/>
          <w:sz w:val="24"/>
          <w:szCs w:val="24"/>
          <w:highlight w:val="none"/>
          <w:lang w:eastAsia="zh-CN"/>
        </w:rPr>
        <w:t>、</w:t>
      </w:r>
      <w:r>
        <w:rPr>
          <w:rFonts w:hint="eastAsia" w:ascii="Times New Roman" w:hAnsi="Times New Roman" w:eastAsiaTheme="minorEastAsia"/>
          <w:color w:val="auto"/>
          <w:sz w:val="24"/>
          <w:szCs w:val="24"/>
          <w:highlight w:val="none"/>
          <w:lang w:val="en-US" w:eastAsia="zh-CN"/>
        </w:rPr>
        <w:t>原环评</w:t>
      </w:r>
      <w:r>
        <w:rPr>
          <w:rFonts w:hint="default" w:ascii="Times New Roman" w:hAnsi="Times New Roman" w:eastAsiaTheme="minorEastAsia"/>
          <w:color w:val="auto"/>
          <w:sz w:val="24"/>
          <w:szCs w:val="24"/>
          <w:highlight w:val="none"/>
        </w:rPr>
        <w:t>建设化学品仓库，占地面积10m</w:t>
      </w:r>
      <w:r>
        <w:rPr>
          <w:rFonts w:hint="default" w:ascii="Times New Roman" w:hAnsi="Times New Roman" w:eastAsiaTheme="minorEastAsia"/>
          <w:color w:val="auto"/>
          <w:sz w:val="24"/>
          <w:szCs w:val="24"/>
          <w:highlight w:val="none"/>
          <w:vertAlign w:val="superscript"/>
        </w:rPr>
        <w:t>2</w:t>
      </w:r>
      <w:r>
        <w:rPr>
          <w:rFonts w:hint="default" w:ascii="Times New Roman" w:hAnsi="Times New Roman" w:eastAsiaTheme="minorEastAsia"/>
          <w:color w:val="auto"/>
          <w:sz w:val="24"/>
          <w:szCs w:val="24"/>
          <w:highlight w:val="none"/>
        </w:rPr>
        <w:t>，位于原料库内西北角，地面做防腐防渗处理，用于储存金属清洗剂、阳极氧化液、封闭剂(粉状)、氢氧化钠、PAC、PAM等化学品</w:t>
      </w:r>
      <w:r>
        <w:rPr>
          <w:rFonts w:hint="eastAsia" w:ascii="Times New Roman" w:hAnsi="Times New Roman" w:eastAsiaTheme="minorEastAsia"/>
          <w:color w:val="auto"/>
          <w:sz w:val="24"/>
          <w:szCs w:val="24"/>
          <w:highlight w:val="none"/>
          <w:lang w:eastAsia="zh-CN"/>
        </w:rPr>
        <w:t>。</w:t>
      </w:r>
      <w:r>
        <w:rPr>
          <w:rFonts w:hint="eastAsia" w:ascii="Times New Roman" w:hAnsi="Times New Roman" w:eastAsiaTheme="minorEastAsia"/>
          <w:color w:val="auto"/>
          <w:sz w:val="24"/>
          <w:szCs w:val="24"/>
          <w:highlight w:val="none"/>
          <w:lang w:val="en-US" w:eastAsia="zh-CN"/>
        </w:rPr>
        <w:t>实际</w:t>
      </w:r>
      <w:r>
        <w:rPr>
          <w:rFonts w:hint="default" w:ascii="Times New Roman" w:hAnsi="Times New Roman" w:eastAsiaTheme="minorEastAsia"/>
          <w:color w:val="auto"/>
          <w:sz w:val="24"/>
          <w:szCs w:val="24"/>
          <w:highlight w:val="none"/>
        </w:rPr>
        <w:t>由于化学品用量较小，且从周边购买比较便利，因此不再建设化学品仓库，所需的化学品随用随买，不在厂区内储存。</w:t>
      </w:r>
    </w:p>
    <w:p w14:paraId="236FEC5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2</w:t>
      </w:r>
      <w:r>
        <w:rPr>
          <w:rFonts w:hint="eastAsia" w:ascii="Times New Roman" w:hAnsi="Times New Roman" w:eastAsiaTheme="minorEastAsia"/>
          <w:color w:val="auto"/>
          <w:sz w:val="24"/>
          <w:szCs w:val="24"/>
          <w:highlight w:val="none"/>
          <w:lang w:eastAsia="zh-CN"/>
        </w:rPr>
        <w:t>、</w:t>
      </w:r>
      <w:r>
        <w:rPr>
          <w:rFonts w:hint="eastAsia" w:ascii="Times New Roman" w:hAnsi="Times New Roman" w:eastAsiaTheme="minorEastAsia"/>
          <w:color w:val="auto"/>
          <w:sz w:val="24"/>
          <w:szCs w:val="24"/>
          <w:highlight w:val="none"/>
          <w:lang w:val="en-US" w:eastAsia="zh-CN"/>
        </w:rPr>
        <w:t>原环评</w:t>
      </w:r>
      <w:r>
        <w:rPr>
          <w:rFonts w:hint="default" w:ascii="Times New Roman" w:hAnsi="Times New Roman" w:eastAsiaTheme="minorEastAsia"/>
          <w:color w:val="auto"/>
          <w:sz w:val="24"/>
          <w:szCs w:val="24"/>
          <w:highlight w:val="none"/>
        </w:rPr>
        <w:t>在厂区西南侧建设180m</w:t>
      </w:r>
      <w:r>
        <w:rPr>
          <w:rFonts w:hint="default" w:ascii="Times New Roman" w:hAnsi="Times New Roman" w:eastAsiaTheme="minorEastAsia"/>
          <w:color w:val="auto"/>
          <w:sz w:val="24"/>
          <w:szCs w:val="24"/>
          <w:highlight w:val="none"/>
          <w:vertAlign w:val="superscript"/>
        </w:rPr>
        <w:t>3</w:t>
      </w:r>
      <w:r>
        <w:rPr>
          <w:rFonts w:hint="default" w:ascii="Times New Roman" w:hAnsi="Times New Roman" w:eastAsiaTheme="minorEastAsia"/>
          <w:color w:val="auto"/>
          <w:sz w:val="24"/>
          <w:szCs w:val="24"/>
          <w:highlight w:val="none"/>
        </w:rPr>
        <w:t>事故应急池，用于收集事故废水、消防废水、雨水等</w:t>
      </w:r>
      <w:r>
        <w:rPr>
          <w:rFonts w:hint="eastAsia" w:ascii="Times New Roman" w:hAnsi="Times New Roman" w:eastAsiaTheme="minorEastAsia"/>
          <w:color w:val="auto"/>
          <w:sz w:val="24"/>
          <w:szCs w:val="24"/>
          <w:highlight w:val="none"/>
          <w:lang w:eastAsia="zh-CN"/>
        </w:rPr>
        <w:t>。</w:t>
      </w:r>
      <w:r>
        <w:rPr>
          <w:rFonts w:hint="eastAsia" w:ascii="Times New Roman" w:hAnsi="Times New Roman" w:eastAsiaTheme="minorEastAsia"/>
          <w:color w:val="auto"/>
          <w:sz w:val="24"/>
          <w:szCs w:val="24"/>
          <w:highlight w:val="none"/>
          <w:lang w:val="en-US" w:eastAsia="zh-CN"/>
        </w:rPr>
        <w:t>实际建设</w:t>
      </w:r>
      <w:r>
        <w:rPr>
          <w:rFonts w:hint="default" w:ascii="Times New Roman" w:hAnsi="Times New Roman" w:eastAsiaTheme="minorEastAsia"/>
          <w:color w:val="auto"/>
          <w:sz w:val="24"/>
          <w:szCs w:val="24"/>
          <w:highlight w:val="none"/>
        </w:rPr>
        <w:t>由于不再设置化学品仓库，事故状态下产生的消防废水以及需要收集的雨水量减少，在厂区设置</w:t>
      </w:r>
      <w:r>
        <w:rPr>
          <w:rFonts w:hint="eastAsia" w:ascii="Times New Roman" w:hAnsi="Times New Roman" w:eastAsiaTheme="minorEastAsia"/>
          <w:color w:val="auto"/>
          <w:sz w:val="24"/>
          <w:szCs w:val="24"/>
          <w:highlight w:val="none"/>
          <w:lang w:val="en-US" w:eastAsia="zh-CN"/>
        </w:rPr>
        <w:t>2个</w:t>
      </w:r>
      <w:r>
        <w:rPr>
          <w:rFonts w:hint="default" w:ascii="Times New Roman" w:hAnsi="Times New Roman" w:eastAsiaTheme="minorEastAsia"/>
          <w:color w:val="auto"/>
          <w:sz w:val="24"/>
          <w:szCs w:val="24"/>
          <w:highlight w:val="none"/>
        </w:rPr>
        <w:t>事故收集桶</w:t>
      </w:r>
      <w:r>
        <w:rPr>
          <w:rFonts w:hint="eastAsia" w:ascii="Times New Roman" w:hAnsi="Times New Roman" w:eastAsiaTheme="minorEastAsia"/>
          <w:color w:val="auto"/>
          <w:sz w:val="24"/>
          <w:szCs w:val="24"/>
          <w:highlight w:val="none"/>
          <w:lang w:eastAsia="zh-CN"/>
        </w:rPr>
        <w:t>，</w:t>
      </w:r>
      <w:r>
        <w:rPr>
          <w:rFonts w:hint="eastAsia" w:ascii="Times New Roman" w:hAnsi="Times New Roman" w:eastAsiaTheme="minorEastAsia"/>
          <w:color w:val="auto"/>
          <w:sz w:val="24"/>
          <w:szCs w:val="24"/>
          <w:highlight w:val="none"/>
          <w:lang w:val="en-US" w:eastAsia="zh-CN"/>
        </w:rPr>
        <w:t>总容量40m</w:t>
      </w:r>
      <w:r>
        <w:rPr>
          <w:rFonts w:hint="eastAsia" w:ascii="Times New Roman" w:hAnsi="Times New Roman" w:eastAsiaTheme="minorEastAsia"/>
          <w:color w:val="auto"/>
          <w:sz w:val="24"/>
          <w:szCs w:val="24"/>
          <w:highlight w:val="none"/>
          <w:vertAlign w:val="superscript"/>
          <w:lang w:val="en-US" w:eastAsia="zh-CN"/>
        </w:rPr>
        <w:t>3</w:t>
      </w:r>
      <w:r>
        <w:rPr>
          <w:rFonts w:hint="default" w:ascii="Times New Roman" w:hAnsi="Times New Roman" w:eastAsiaTheme="minorEastAsia"/>
          <w:color w:val="auto"/>
          <w:sz w:val="24"/>
          <w:szCs w:val="24"/>
          <w:highlight w:val="none"/>
        </w:rPr>
        <w:t>，用于收集事故废水、消防废水、雨水等。</w:t>
      </w:r>
    </w:p>
    <w:p w14:paraId="605E9B4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3</w:t>
      </w:r>
      <w:r>
        <w:rPr>
          <w:rFonts w:hint="eastAsia" w:ascii="Times New Roman" w:hAnsi="Times New Roman" w:eastAsiaTheme="minorEastAsia"/>
          <w:color w:val="auto"/>
          <w:sz w:val="24"/>
          <w:szCs w:val="24"/>
          <w:highlight w:val="none"/>
          <w:lang w:val="en-US" w:eastAsia="zh-CN"/>
        </w:rPr>
        <w:t>原环评</w:t>
      </w:r>
      <w:r>
        <w:rPr>
          <w:rFonts w:hint="default" w:ascii="Times New Roman" w:hAnsi="Times New Roman" w:eastAsiaTheme="minorEastAsia"/>
          <w:color w:val="auto"/>
          <w:sz w:val="24"/>
          <w:szCs w:val="24"/>
          <w:highlight w:val="none"/>
        </w:rPr>
        <w:t>除油槽1个，水洗槽5个，阳极氧化槽1个，冲洗槽1个，封闭槽1个。考虑阳极氧化生产线所有槽体有效容积和生产线最大排水</w:t>
      </w:r>
      <w:r>
        <w:rPr>
          <w:rFonts w:hint="eastAsia" w:ascii="Times New Roman" w:hAnsi="Times New Roman" w:eastAsiaTheme="minorEastAsia"/>
          <w:color w:val="auto"/>
          <w:sz w:val="24"/>
          <w:szCs w:val="24"/>
          <w:highlight w:val="none"/>
          <w:lang w:eastAsia="zh-CN"/>
        </w:rPr>
        <w:t>（</w:t>
      </w:r>
      <w:r>
        <w:rPr>
          <w:rFonts w:hint="default" w:ascii="Times New Roman" w:hAnsi="Times New Roman" w:eastAsiaTheme="minorEastAsia"/>
          <w:color w:val="auto"/>
          <w:sz w:val="24"/>
          <w:szCs w:val="24"/>
          <w:highlight w:val="none"/>
        </w:rPr>
        <w:t>所有槽体废水同时进入调节池</w:t>
      </w:r>
      <w:r>
        <w:rPr>
          <w:rFonts w:hint="eastAsia" w:ascii="Times New Roman" w:hAnsi="Times New Roman" w:eastAsiaTheme="minorEastAsia"/>
          <w:color w:val="auto"/>
          <w:sz w:val="24"/>
          <w:szCs w:val="24"/>
          <w:highlight w:val="none"/>
          <w:lang w:eastAsia="zh-CN"/>
        </w:rPr>
        <w:t>）</w:t>
      </w:r>
      <w:r>
        <w:rPr>
          <w:rFonts w:hint="default" w:ascii="Times New Roman" w:hAnsi="Times New Roman" w:eastAsiaTheme="minorEastAsia"/>
          <w:color w:val="auto"/>
          <w:sz w:val="24"/>
          <w:szCs w:val="24"/>
          <w:highlight w:val="none"/>
        </w:rPr>
        <w:t>情况，调节池设计大小为20m</w:t>
      </w:r>
      <w:r>
        <w:rPr>
          <w:rFonts w:hint="default" w:ascii="Times New Roman" w:hAnsi="Times New Roman" w:eastAsiaTheme="minorEastAsia"/>
          <w:color w:val="auto"/>
          <w:sz w:val="24"/>
          <w:szCs w:val="24"/>
          <w:highlight w:val="none"/>
          <w:vertAlign w:val="superscript"/>
        </w:rPr>
        <w:t>3</w:t>
      </w:r>
      <w:r>
        <w:rPr>
          <w:rFonts w:hint="default" w:ascii="Times New Roman" w:hAnsi="Times New Roman" w:eastAsiaTheme="minorEastAsia"/>
          <w:color w:val="auto"/>
          <w:sz w:val="24"/>
          <w:szCs w:val="24"/>
          <w:highlight w:val="none"/>
        </w:rPr>
        <w:t>。</w:t>
      </w:r>
      <w:r>
        <w:rPr>
          <w:rFonts w:hint="eastAsia" w:ascii="Times New Roman" w:hAnsi="Times New Roman" w:eastAsiaTheme="minorEastAsia"/>
          <w:color w:val="auto"/>
          <w:sz w:val="24"/>
          <w:szCs w:val="24"/>
          <w:highlight w:val="none"/>
          <w:lang w:val="en-US" w:eastAsia="zh-CN"/>
        </w:rPr>
        <w:t>实际</w:t>
      </w:r>
      <w:r>
        <w:rPr>
          <w:rFonts w:hint="default" w:ascii="Times New Roman" w:hAnsi="Times New Roman" w:eastAsiaTheme="minorEastAsia"/>
          <w:color w:val="auto"/>
          <w:sz w:val="24"/>
          <w:szCs w:val="24"/>
          <w:highlight w:val="none"/>
        </w:rPr>
        <w:t>水洗槽实际建设3个，减少2个，废水产生量相应减少，冲洗槽实际未建设，调节池容积相应减小。</w:t>
      </w:r>
    </w:p>
    <w:p w14:paraId="7EF072B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Theme="minorEastAsia"/>
          <w:color w:val="auto"/>
          <w:sz w:val="24"/>
          <w:szCs w:val="24"/>
          <w:highlight w:val="none"/>
        </w:rPr>
      </w:pPr>
      <w:r>
        <w:rPr>
          <w:rFonts w:hint="default" w:ascii="Times New Roman" w:hAnsi="Times New Roman" w:eastAsiaTheme="minorEastAsia"/>
          <w:color w:val="auto"/>
          <w:sz w:val="24"/>
          <w:szCs w:val="24"/>
          <w:highlight w:val="none"/>
        </w:rPr>
        <w:t>项目地点、规模、生产工艺均不发生变化。</w:t>
      </w:r>
    </w:p>
    <w:p w14:paraId="38292BA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Theme="minorEastAsia"/>
          <w:color w:val="auto"/>
          <w:sz w:val="24"/>
          <w:szCs w:val="24"/>
          <w:highlight w:val="none"/>
          <w:lang w:val="en-US" w:eastAsia="zh-CN"/>
        </w:rPr>
      </w:pPr>
      <w:r>
        <w:rPr>
          <w:rFonts w:hint="eastAsia" w:ascii="Times New Roman" w:hAnsi="Times New Roman" w:eastAsiaTheme="minorEastAsia"/>
          <w:color w:val="auto"/>
          <w:sz w:val="24"/>
          <w:szCs w:val="24"/>
          <w:highlight w:val="none"/>
          <w:lang w:val="en-US" w:eastAsia="zh-CN"/>
        </w:rPr>
        <w:t>对照关于据《关于印发制浆造纸等十四个行业建设项目重大变动清单的通知》（环办环评（2018）6号）中《电镀建设项目重大变动清单（试行）》，此项目实际建设变化均不属于重大变动，可纳入排污许可管理，并进行项目竣工环保设施三同时验收。</w:t>
      </w:r>
    </w:p>
    <w:p w14:paraId="3903FB5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Theme="minorEastAsia"/>
          <w:color w:val="auto"/>
          <w:sz w:val="24"/>
          <w:szCs w:val="24"/>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Times New Roman" w:hAnsi="Times New Roman" w:eastAsiaTheme="minorEastAsia"/>
          <w:color w:val="auto"/>
          <w:sz w:val="24"/>
          <w:szCs w:val="24"/>
          <w:highlight w:val="none"/>
          <w:lang w:val="en-US" w:eastAsia="zh-CN"/>
        </w:rPr>
        <w:t>唐山市康泰科技有限公司年产羊肉片机500台新建项目已进行了非重大变动专家论证，并取得了论证咨询意见。</w:t>
      </w:r>
    </w:p>
    <w:p w14:paraId="1A5B646A">
      <w:pPr>
        <w:pStyle w:val="4"/>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16" w:name="_Toc31222"/>
      <w:r>
        <w:rPr>
          <w:rFonts w:hint="default" w:ascii="Times New Roman" w:hAnsi="Times New Roman" w:eastAsia="宋体" w:cs="Times New Roman"/>
          <w:color w:val="000000" w:themeColor="text1"/>
          <w:highlight w:val="none"/>
          <w14:textFill>
            <w14:solidFill>
              <w14:schemeClr w14:val="tx1"/>
            </w14:solidFill>
          </w14:textFill>
        </w:rPr>
        <w:t>4环境保护设施</w:t>
      </w:r>
      <w:bookmarkEnd w:id="16"/>
    </w:p>
    <w:p w14:paraId="5E30CDA5">
      <w:pPr>
        <w:pStyle w:val="5"/>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17" w:name="_Toc12650"/>
      <w:r>
        <w:rPr>
          <w:rFonts w:hint="default" w:ascii="Times New Roman" w:hAnsi="Times New Roman" w:eastAsia="宋体" w:cs="Times New Roman"/>
          <w:color w:val="000000" w:themeColor="text1"/>
          <w:highlight w:val="none"/>
          <w14:textFill>
            <w14:solidFill>
              <w14:schemeClr w14:val="tx1"/>
            </w14:solidFill>
          </w14:textFill>
        </w:rPr>
        <w:t>4.1污染物治理及处置设施</w:t>
      </w:r>
      <w:bookmarkEnd w:id="17"/>
    </w:p>
    <w:p w14:paraId="50159B07">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4.1.</w:t>
      </w:r>
      <w:r>
        <w:rPr>
          <w:rFonts w:hint="eastAsia" w:eastAsia="宋体" w:cs="Times New Roman"/>
          <w:color w:val="000000" w:themeColor="text1"/>
          <w:highlight w:val="none"/>
          <w:lang w:val="en-US" w:eastAsia="zh-CN"/>
          <w14:textFill>
            <w14:solidFill>
              <w14:schemeClr w14:val="tx1"/>
            </w14:solidFill>
          </w14:textFill>
        </w:rPr>
        <w:t>1</w:t>
      </w:r>
      <w:r>
        <w:rPr>
          <w:rFonts w:hint="default" w:ascii="Times New Roman" w:hAnsi="Times New Roman" w:eastAsia="宋体" w:cs="Times New Roman"/>
          <w:color w:val="000000" w:themeColor="text1"/>
          <w:highlight w:val="none"/>
          <w14:textFill>
            <w14:solidFill>
              <w14:schemeClr w14:val="tx1"/>
            </w14:solidFill>
          </w14:textFill>
        </w:rPr>
        <w:t>废</w:t>
      </w:r>
      <w:r>
        <w:rPr>
          <w:rFonts w:hint="eastAsia" w:eastAsia="宋体" w:cs="Times New Roman"/>
          <w:color w:val="000000" w:themeColor="text1"/>
          <w:highlight w:val="none"/>
          <w:lang w:val="en-US" w:eastAsia="zh-CN"/>
          <w14:textFill>
            <w14:solidFill>
              <w14:schemeClr w14:val="tx1"/>
            </w14:solidFill>
          </w14:textFill>
        </w:rPr>
        <w:t>水</w:t>
      </w:r>
    </w:p>
    <w:p w14:paraId="46BEC06B">
      <w:pPr>
        <w:widowControl w:val="0"/>
        <w:numPr>
          <w:ilvl w:val="0"/>
          <w:numId w:val="0"/>
        </w:numPr>
        <w:spacing w:line="360" w:lineRule="auto"/>
        <w:ind w:firstLine="480" w:firstLineChars="200"/>
        <w:jc w:val="both"/>
        <w:rPr>
          <w:rFonts w:hint="eastAsia" w:ascii="Times New Roman" w:hAnsi="Times New Roman" w:cs="Times New Roman" w:eastAsiaTheme="minorEastAsia"/>
          <w:color w:val="000000" w:themeColor="text1"/>
          <w:kern w:val="2"/>
          <w:sz w:val="24"/>
          <w:szCs w:val="24"/>
          <w:highlight w:val="none"/>
          <w:lang w:val="en-US" w:eastAsia="zh-CN" w:bidi="ar-SA"/>
          <w14:textFill>
            <w14:solidFill>
              <w14:schemeClr w14:val="tx1"/>
            </w14:solidFill>
          </w14:textFill>
        </w:rPr>
      </w:pPr>
      <w:r>
        <w:rPr>
          <w:rFonts w:hint="eastAsia" w:ascii="Times New Roman" w:hAnsi="Times New Roman" w:cs="Times New Roman" w:eastAsiaTheme="minorEastAsia"/>
          <w:color w:val="000000" w:themeColor="text1"/>
          <w:kern w:val="2"/>
          <w:sz w:val="24"/>
          <w:szCs w:val="24"/>
          <w:highlight w:val="none"/>
          <w:lang w:val="en-US" w:eastAsia="zh-CN" w:bidi="ar-SA"/>
          <w14:textFill>
            <w14:solidFill>
              <w14:schemeClr w14:val="tx1"/>
            </w14:solidFill>
          </w14:textFill>
        </w:rPr>
        <w:t>本项目喷淋塔排水、纯水制备尾水、废脱脂槽液、清洗废水、废阳极氧化槽液、废封闭槽液、阳极氧化车间保洁废水、</w:t>
      </w:r>
      <w:r>
        <w:rPr>
          <w:rFonts w:hint="eastAsia" w:ascii="Times New Roman" w:hAnsi="Times New Roman" w:cs="Times New Roman" w:eastAsiaTheme="minorEastAsia"/>
          <w:color w:val="auto"/>
          <w:kern w:val="2"/>
          <w:sz w:val="24"/>
          <w:szCs w:val="24"/>
          <w:highlight w:val="none"/>
          <w:lang w:val="en-US" w:eastAsia="zh-CN" w:bidi="ar-SA"/>
        </w:rPr>
        <w:t>喷淋塔废水</w:t>
      </w:r>
      <w:r>
        <w:rPr>
          <w:rFonts w:hint="eastAsia" w:ascii="Times New Roman" w:hAnsi="Times New Roman" w:cs="Times New Roman" w:eastAsiaTheme="minorEastAsia"/>
          <w:color w:val="auto"/>
          <w:kern w:val="2"/>
          <w:sz w:val="24"/>
          <w:szCs w:val="24"/>
          <w:highlight w:val="none"/>
          <w:lang w:val="en-US" w:eastAsia="zh-CN" w:bidi="ar-SA"/>
        </w:rPr>
        <w:t>经厂区自</w:t>
      </w:r>
      <w:r>
        <w:rPr>
          <w:rFonts w:hint="eastAsia" w:ascii="Times New Roman" w:hAnsi="Times New Roman" w:cs="Times New Roman" w:eastAsiaTheme="minorEastAsia"/>
          <w:color w:val="000000" w:themeColor="text1"/>
          <w:kern w:val="2"/>
          <w:sz w:val="24"/>
          <w:szCs w:val="24"/>
          <w:highlight w:val="none"/>
          <w:lang w:val="en-US" w:eastAsia="zh-CN" w:bidi="ar-SA"/>
          <w14:textFill>
            <w14:solidFill>
              <w14:schemeClr w14:val="tx1"/>
            </w14:solidFill>
          </w14:textFill>
        </w:rPr>
        <w:t>建污水处理站处理后回用于阳极氧化生产线循环使用，污水处理设施产生的浓排水桶装收集作为危废进行处理；生活污水主要为职工盥洗、冲厕废水，生活污水经化粪池预处理，通过市政管网进入鸦鸿桥镇污水处理厂处理。</w:t>
      </w:r>
    </w:p>
    <w:p w14:paraId="3AEE9360">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4.1.</w:t>
      </w:r>
      <w:r>
        <w:rPr>
          <w:rFonts w:hint="eastAsia" w:eastAsia="宋体" w:cs="Times New Roman"/>
          <w:color w:val="000000" w:themeColor="text1"/>
          <w:highlight w:val="none"/>
          <w:lang w:val="en-US" w:eastAsia="zh-CN"/>
          <w14:textFill>
            <w14:solidFill>
              <w14:schemeClr w14:val="tx1"/>
            </w14:solidFill>
          </w14:textFill>
        </w:rPr>
        <w:t>2</w:t>
      </w:r>
      <w:r>
        <w:rPr>
          <w:rFonts w:hint="default" w:ascii="Times New Roman" w:hAnsi="Times New Roman" w:eastAsia="宋体" w:cs="Times New Roman"/>
          <w:color w:val="000000" w:themeColor="text1"/>
          <w:highlight w:val="none"/>
          <w14:textFill>
            <w14:solidFill>
              <w14:schemeClr w14:val="tx1"/>
            </w14:solidFill>
          </w14:textFill>
        </w:rPr>
        <w:t>废气</w:t>
      </w:r>
    </w:p>
    <w:p w14:paraId="27846B97">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Times New Roman" w:hAnsi="Times New Roman" w:eastAsia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有</w:t>
      </w:r>
      <w:r>
        <w:rPr>
          <w:rFonts w:hint="eastAsia" w:ascii="Times New Roman" w:hAnsi="Times New Roman" w:eastAsiaTheme="minorEastAsia"/>
          <w:color w:val="000000" w:themeColor="text1"/>
          <w:sz w:val="24"/>
          <w:szCs w:val="24"/>
          <w:highlight w:val="none"/>
          <w14:textFill>
            <w14:solidFill>
              <w14:schemeClr w14:val="tx1"/>
            </w14:solidFill>
          </w14:textFill>
        </w:rPr>
        <w:t>组织废气</w:t>
      </w:r>
    </w:p>
    <w:p w14:paraId="1A810AE9">
      <w:pPr>
        <w:autoSpaceDE w:val="0"/>
        <w:autoSpaceDN w:val="0"/>
        <w:adjustRightInd w:val="0"/>
        <w:spacing w:line="360" w:lineRule="auto"/>
        <w:ind w:firstLine="480" w:firstLineChars="200"/>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rPr>
        <w:t>项目</w:t>
      </w:r>
      <w:r>
        <w:rPr>
          <w:rFonts w:hint="eastAsia" w:ascii="Times New Roman" w:hAnsi="Times New Roman" w:cs="Times New Roman" w:eastAsiaTheme="minorEastAsia"/>
          <w:color w:val="auto"/>
          <w:sz w:val="24"/>
          <w:szCs w:val="24"/>
          <w:highlight w:val="none"/>
          <w:lang w:val="en-US" w:eastAsia="zh-CN"/>
        </w:rPr>
        <w:t>有组织</w:t>
      </w:r>
      <w:r>
        <w:rPr>
          <w:rFonts w:hint="default" w:ascii="Times New Roman" w:hAnsi="Times New Roman" w:cs="Times New Roman" w:eastAsiaTheme="minorEastAsia"/>
          <w:color w:val="auto"/>
          <w:sz w:val="24"/>
          <w:szCs w:val="24"/>
          <w:highlight w:val="none"/>
          <w:lang w:val="en-US" w:eastAsia="zh-CN"/>
        </w:rPr>
        <w:t>废气主要为</w:t>
      </w:r>
      <w:r>
        <w:rPr>
          <w:rFonts w:hint="eastAsia" w:ascii="Times New Roman" w:hAnsi="Times New Roman" w:cs="Times New Roman" w:eastAsiaTheme="minorEastAsia"/>
          <w:color w:val="auto"/>
          <w:sz w:val="24"/>
          <w:szCs w:val="24"/>
          <w:highlight w:val="none"/>
          <w:lang w:val="en-US" w:eastAsia="zh-CN"/>
        </w:rPr>
        <w:t>羊肉片机零部件抛光过程产生的颗粒物</w:t>
      </w:r>
      <w:r>
        <w:rPr>
          <w:rFonts w:hint="default" w:ascii="Times New Roman" w:hAnsi="Times New Roman" w:cs="Times New Roman" w:eastAsiaTheme="minorEastAsia"/>
          <w:color w:val="auto"/>
          <w:sz w:val="24"/>
          <w:szCs w:val="24"/>
          <w:highlight w:val="none"/>
          <w:lang w:val="en-US" w:eastAsia="zh-CN"/>
        </w:rPr>
        <w:t>及</w:t>
      </w:r>
      <w:r>
        <w:rPr>
          <w:rFonts w:hint="eastAsia" w:ascii="Times New Roman" w:hAnsi="Times New Roman" w:cs="Times New Roman" w:eastAsiaTheme="minorEastAsia"/>
          <w:color w:val="auto"/>
          <w:sz w:val="24"/>
          <w:szCs w:val="24"/>
          <w:highlight w:val="none"/>
          <w:lang w:val="en-US" w:eastAsia="zh-CN"/>
        </w:rPr>
        <w:t>阳极氧化过程及槽液配置产生的硫酸雾</w:t>
      </w:r>
      <w:r>
        <w:rPr>
          <w:rFonts w:hint="default" w:ascii="Times New Roman" w:hAnsi="Times New Roman" w:cs="Times New Roman" w:eastAsiaTheme="minorEastAsia"/>
          <w:color w:val="auto"/>
          <w:sz w:val="24"/>
          <w:szCs w:val="24"/>
          <w:highlight w:val="none"/>
          <w:lang w:val="en-US" w:eastAsia="zh-CN"/>
        </w:rPr>
        <w:t>。</w:t>
      </w:r>
    </w:p>
    <w:p w14:paraId="0A175A22">
      <w:pPr>
        <w:numPr>
          <w:ilvl w:val="0"/>
          <w:numId w:val="5"/>
        </w:numPr>
        <w:autoSpaceDE w:val="0"/>
        <w:autoSpaceDN w:val="0"/>
        <w:adjustRightInd w:val="0"/>
        <w:spacing w:line="360" w:lineRule="auto"/>
        <w:ind w:firstLine="480" w:firstLineChars="200"/>
        <w:rPr>
          <w:rFonts w:hint="eastAsia" w:ascii="Times New Roman" w:hAnsi="Times New Roman" w:cs="Times New Roman" w:eastAsiaTheme="minorEastAsia"/>
          <w:color w:val="auto"/>
          <w:sz w:val="24"/>
          <w:szCs w:val="24"/>
          <w:highlight w:val="none"/>
          <w:lang w:val="en-US" w:eastAsia="zh-CN"/>
        </w:rPr>
      </w:pPr>
      <w:r>
        <w:rPr>
          <w:rFonts w:hint="eastAsia" w:ascii="Times New Roman" w:hAnsi="Times New Roman" w:cs="Times New Roman" w:eastAsiaTheme="minorEastAsia"/>
          <w:color w:val="auto"/>
          <w:sz w:val="24"/>
          <w:szCs w:val="24"/>
          <w:highlight w:val="none"/>
          <w:lang w:val="en-US" w:eastAsia="zh-CN"/>
        </w:rPr>
        <w:t>抛光产生的废气经</w:t>
      </w:r>
      <w:r>
        <w:rPr>
          <w:rFonts w:hint="default" w:ascii="Times New Roman" w:hAnsi="Times New Roman" w:cs="Times New Roman" w:eastAsiaTheme="minorEastAsia"/>
          <w:color w:val="auto"/>
          <w:sz w:val="24"/>
          <w:szCs w:val="24"/>
          <w:highlight w:val="none"/>
          <w:lang w:val="en-US" w:eastAsia="zh-CN"/>
        </w:rPr>
        <w:t>一套脉冲布袋除尘器</w:t>
      </w:r>
      <w:r>
        <w:rPr>
          <w:rFonts w:hint="eastAsia" w:ascii="Times New Roman" w:hAnsi="Times New Roman" w:cs="Times New Roman" w:eastAsiaTheme="minorEastAsia"/>
          <w:color w:val="auto"/>
          <w:sz w:val="24"/>
          <w:szCs w:val="24"/>
          <w:highlight w:val="none"/>
          <w:lang w:val="en-US" w:eastAsia="zh-CN"/>
        </w:rPr>
        <w:t>处理后，通过1根15m高排气筒（P1）排放。颗粒物排放浓度满足《钢铁工业大气污染物超低排放标准》（DB13/2169-2018）表1热处理炉、拉矫、精整、抛丸、修磨、焊接机及其他生产设施颗粒物排放限值：10mg/m</w:t>
      </w:r>
      <w:r>
        <w:rPr>
          <w:rFonts w:hint="eastAsia" w:ascii="Times New Roman" w:hAnsi="Times New Roman" w:cs="Times New Roman" w:eastAsiaTheme="minorEastAsia"/>
          <w:color w:val="auto"/>
          <w:sz w:val="24"/>
          <w:szCs w:val="24"/>
          <w:highlight w:val="none"/>
          <w:vertAlign w:val="superscript"/>
          <w:lang w:val="en-US" w:eastAsia="zh-CN"/>
        </w:rPr>
        <w:t>3</w:t>
      </w:r>
      <w:r>
        <w:rPr>
          <w:rFonts w:hint="eastAsia" w:ascii="Times New Roman" w:hAnsi="Times New Roman" w:cs="Times New Roman" w:eastAsiaTheme="minorEastAsia"/>
          <w:color w:val="auto"/>
          <w:sz w:val="24"/>
          <w:szCs w:val="24"/>
          <w:highlight w:val="none"/>
          <w:lang w:val="en-US" w:eastAsia="zh-CN"/>
        </w:rPr>
        <w:t>要求。</w:t>
      </w:r>
    </w:p>
    <w:p w14:paraId="1CA59D06">
      <w:pPr>
        <w:autoSpaceDE w:val="0"/>
        <w:autoSpaceDN w:val="0"/>
        <w:adjustRightInd w:val="0"/>
        <w:spacing w:line="360" w:lineRule="auto"/>
        <w:ind w:firstLine="480" w:firstLineChars="200"/>
        <w:rPr>
          <w:rFonts w:ascii="Times New Roman" w:hAnsi="Times New Roman"/>
          <w:color w:val="0000FF"/>
          <w:sz w:val="24"/>
          <w:highlight w:val="none"/>
        </w:rPr>
      </w:pPr>
      <w:r>
        <w:rPr>
          <w:rFonts w:hint="eastAsia" w:ascii="Times New Roman" w:hAnsi="Times New Roman" w:cs="Times New Roman" w:eastAsiaTheme="minorEastAsia"/>
          <w:color w:val="auto"/>
          <w:sz w:val="24"/>
          <w:szCs w:val="24"/>
          <w:highlight w:val="none"/>
          <w:lang w:val="en-US" w:eastAsia="zh-CN"/>
        </w:rPr>
        <w:t>（2）阳极氧化废气设置集气罩收集</w:t>
      </w:r>
      <w:r>
        <w:rPr>
          <w:rFonts w:hint="default" w:ascii="Times New Roman" w:hAnsi="Times New Roman" w:cs="Times New Roman" w:eastAsiaTheme="minorEastAsia"/>
          <w:color w:val="auto"/>
          <w:sz w:val="24"/>
          <w:szCs w:val="24"/>
          <w:highlight w:val="none"/>
          <w:lang w:val="en-US" w:eastAsia="zh-CN"/>
        </w:rPr>
        <w:t>，</w:t>
      </w:r>
      <w:r>
        <w:rPr>
          <w:rFonts w:hint="eastAsia" w:ascii="Times New Roman" w:hAnsi="Times New Roman" w:cs="Times New Roman" w:eastAsiaTheme="minorEastAsia"/>
          <w:color w:val="auto"/>
          <w:sz w:val="24"/>
          <w:szCs w:val="24"/>
          <w:highlight w:val="none"/>
          <w:lang w:val="en-US" w:eastAsia="zh-CN"/>
        </w:rPr>
        <w:t>收集的废气经碱液喷淋塔处理，通过1根15m高的排气筒（P2）排放。硫酸雾排放浓度满足《河北省十一个行业重污染天气应急减排措施制定技术指南》中金属表面处理及热处理加工行业排放限值：10mg/m</w:t>
      </w:r>
      <w:r>
        <w:rPr>
          <w:rFonts w:hint="eastAsia" w:ascii="Times New Roman" w:hAnsi="Times New Roman" w:cs="Times New Roman" w:eastAsiaTheme="minorEastAsia"/>
          <w:color w:val="auto"/>
          <w:sz w:val="24"/>
          <w:szCs w:val="24"/>
          <w:highlight w:val="none"/>
          <w:vertAlign w:val="superscript"/>
          <w:lang w:val="en-US" w:eastAsia="zh-CN"/>
        </w:rPr>
        <w:t>3</w:t>
      </w:r>
      <w:r>
        <w:rPr>
          <w:rFonts w:hint="eastAsia" w:ascii="Times New Roman" w:hAnsi="Times New Roman" w:cs="Times New Roman" w:eastAsiaTheme="minorEastAsia"/>
          <w:color w:val="auto"/>
          <w:sz w:val="24"/>
          <w:szCs w:val="24"/>
          <w:highlight w:val="none"/>
          <w:lang w:val="en-US" w:eastAsia="zh-CN"/>
        </w:rPr>
        <w:t>。</w:t>
      </w:r>
    </w:p>
    <w:tbl>
      <w:tblPr>
        <w:tblStyle w:val="33"/>
        <w:tblW w:w="87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9"/>
        <w:gridCol w:w="110"/>
        <w:gridCol w:w="4290"/>
      </w:tblGrid>
      <w:tr w14:paraId="35C1E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4" w:hRule="atLeast"/>
        </w:trPr>
        <w:tc>
          <w:tcPr>
            <w:tcW w:w="4509" w:type="dxa"/>
            <w:gridSpan w:val="2"/>
            <w:vAlign w:val="center"/>
          </w:tcPr>
          <w:p w14:paraId="641417FF">
            <w:pPr>
              <w:pageBreakBefore w:val="0"/>
              <w:numPr>
                <w:ilvl w:val="0"/>
                <w:numId w:val="0"/>
              </w:numPr>
              <w:kinsoku/>
              <w:wordWrap/>
              <w:overflowPunct/>
              <w:topLinePunct w:val="0"/>
              <w:autoSpaceDE/>
              <w:autoSpaceDN/>
              <w:bidi w:val="0"/>
              <w:adjustRightInd/>
              <w:snapToGrid/>
              <w:spacing w:line="240" w:lineRule="auto"/>
              <w:jc w:val="both"/>
              <w:rPr>
                <w:rFonts w:hint="eastAsia"/>
                <w:color w:val="auto"/>
                <w:sz w:val="24"/>
                <w:highlight w:val="none"/>
                <w:lang w:val="en-US" w:eastAsia="zh-CN"/>
              </w:rPr>
            </w:pPr>
            <w:r>
              <w:rPr>
                <w:color w:val="auto"/>
                <w:sz w:val="24"/>
                <w:highlight w:val="none"/>
              </w:rPr>
              <mc:AlternateContent>
                <mc:Choice Requires="wps">
                  <w:drawing>
                    <wp:anchor distT="0" distB="0" distL="114300" distR="114300" simplePos="0" relativeHeight="251667456" behindDoc="0" locked="0" layoutInCell="1" allowOverlap="1">
                      <wp:simplePos x="0" y="0"/>
                      <wp:positionH relativeFrom="column">
                        <wp:posOffset>265430</wp:posOffset>
                      </wp:positionH>
                      <wp:positionV relativeFrom="paragraph">
                        <wp:posOffset>111125</wp:posOffset>
                      </wp:positionV>
                      <wp:extent cx="1944370" cy="3084830"/>
                      <wp:effectExtent l="6350" t="6350" r="11430" b="13970"/>
                      <wp:wrapNone/>
                      <wp:docPr id="8" name="矩形 8"/>
                      <wp:cNvGraphicFramePr/>
                      <a:graphic xmlns:a="http://schemas.openxmlformats.org/drawingml/2006/main">
                        <a:graphicData uri="http://schemas.microsoft.com/office/word/2010/wordprocessingShape">
                          <wps:wsp>
                            <wps:cNvSpPr/>
                            <wps:spPr>
                              <a:xfrm>
                                <a:off x="0" y="0"/>
                                <a:ext cx="1944370" cy="3084830"/>
                              </a:xfrm>
                              <a:prstGeom prst="rect">
                                <a:avLst/>
                              </a:prstGeom>
                              <a:noFill/>
                              <a:ln w="12700" cmpd="sng">
                                <a:solidFill>
                                  <a:srgbClr val="C00000"/>
                                </a:solidFill>
                                <a:prstDash val="solid"/>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0.9pt;margin-top:8.75pt;height:242.9pt;width:153.1pt;z-index:251667456;v-text-anchor:middle;mso-width-relative:page;mso-height-relative:page;" filled="f" stroked="t" coordsize="21600,21600" o:gfxdata="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uy5KptgAAAAJAQAADwAAAAAAAAABACAAAAAiAAAAZHJzL2Rvd25yZXYueG1sUEsBAhQAFAAAAAgA&#10;h07iQIIXxYZeAgAAtQQAAA4AAAAAAAAAAQAgAAAAJwEAAGRycy9lMm9Eb2MueG1sUEsFBgAAAAAG&#10;AAYAWQEAAPcFAAAAAA==&#10;">
                      <v:fill on="f" focussize="0,0"/>
                      <v:stroke weight="1pt" color="#C00000 [2404]" joinstyle="round"/>
                      <v:imagedata o:title=""/>
                      <o:lock v:ext="edit" aspectratio="f"/>
                    </v:rect>
                  </w:pict>
                </mc:Fallback>
              </mc:AlternateContent>
            </w:r>
            <w:r>
              <w:rPr>
                <w:rFonts w:hint="eastAsia"/>
                <w:color w:val="auto"/>
                <w:sz w:val="24"/>
                <w:highlight w:val="none"/>
                <w:lang w:val="en-US" w:eastAsia="zh-CN"/>
              </w:rPr>
              <w:drawing>
                <wp:anchor distT="0" distB="0" distL="114300" distR="114300" simplePos="0" relativeHeight="251663360" behindDoc="0" locked="0" layoutInCell="1" allowOverlap="1">
                  <wp:simplePos x="0" y="0"/>
                  <wp:positionH relativeFrom="column">
                    <wp:posOffset>142875</wp:posOffset>
                  </wp:positionH>
                  <wp:positionV relativeFrom="paragraph">
                    <wp:posOffset>43815</wp:posOffset>
                  </wp:positionV>
                  <wp:extent cx="2317750" cy="3883025"/>
                  <wp:effectExtent l="0" t="0" r="6350" b="3175"/>
                  <wp:wrapNone/>
                  <wp:docPr id="2" name="图片 2" descr="5d262c6b4f7e373b87cc6eab254503f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5d262c6b4f7e373b87cc6eab254503f7"/>
                          <pic:cNvPicPr>
                            <a:picLocks noChangeAspect="1"/>
                          </pic:cNvPicPr>
                        </pic:nvPicPr>
                        <pic:blipFill>
                          <a:blip r:embed="rId15"/>
                          <a:srcRect b="5752"/>
                          <a:stretch>
                            <a:fillRect/>
                          </a:stretch>
                        </pic:blipFill>
                        <pic:spPr>
                          <a:xfrm>
                            <a:off x="0" y="0"/>
                            <a:ext cx="2317750" cy="3883025"/>
                          </a:xfrm>
                          <a:prstGeom prst="rect">
                            <a:avLst/>
                          </a:prstGeom>
                        </pic:spPr>
                      </pic:pic>
                    </a:graphicData>
                  </a:graphic>
                </wp:anchor>
              </w:drawing>
            </w:r>
            <w:r>
              <w:rPr>
                <w:rFonts w:hint="eastAsia"/>
                <w:color w:val="auto"/>
                <w:sz w:val="24"/>
                <w:highlight w:val="none"/>
                <w:lang w:val="en-US" w:eastAsia="zh-CN"/>
              </w:rPr>
              <w:t xml:space="preserve">   </w:t>
            </w:r>
          </w:p>
        </w:tc>
        <w:tc>
          <w:tcPr>
            <w:tcW w:w="4290" w:type="dxa"/>
            <w:vAlign w:val="center"/>
          </w:tcPr>
          <w:p w14:paraId="06ED02BC">
            <w:pPr>
              <w:pageBreakBefore w:val="0"/>
              <w:numPr>
                <w:ilvl w:val="0"/>
                <w:numId w:val="0"/>
              </w:numPr>
              <w:kinsoku/>
              <w:wordWrap/>
              <w:overflowPunct/>
              <w:topLinePunct w:val="0"/>
              <w:autoSpaceDE/>
              <w:autoSpaceDN/>
              <w:bidi w:val="0"/>
              <w:adjustRightInd/>
              <w:snapToGrid/>
              <w:spacing w:line="240" w:lineRule="auto"/>
              <w:jc w:val="both"/>
              <w:rPr>
                <w:rFonts w:hint="eastAsia" w:ascii="宋体" w:hAnsi="宋体" w:eastAsia="宋体" w:cs="宋体"/>
                <w:b/>
                <w:bCs/>
                <w:color w:val="auto"/>
                <w:sz w:val="24"/>
                <w:szCs w:val="24"/>
                <w:highlight w:val="none"/>
                <w:lang w:val="en-US" w:eastAsia="zh-CN"/>
              </w:rPr>
            </w:pPr>
            <w:r>
              <w:rPr>
                <w:color w:val="auto"/>
                <w:sz w:val="24"/>
                <w:highlight w:val="none"/>
              </w:rPr>
              <mc:AlternateContent>
                <mc:Choice Requires="wps">
                  <w:drawing>
                    <wp:anchor distT="0" distB="0" distL="114300" distR="114300" simplePos="0" relativeHeight="251668480" behindDoc="0" locked="0" layoutInCell="1" allowOverlap="1">
                      <wp:simplePos x="0" y="0"/>
                      <wp:positionH relativeFrom="column">
                        <wp:posOffset>840740</wp:posOffset>
                      </wp:positionH>
                      <wp:positionV relativeFrom="paragraph">
                        <wp:posOffset>19050</wp:posOffset>
                      </wp:positionV>
                      <wp:extent cx="859155" cy="3569970"/>
                      <wp:effectExtent l="6350" t="6350" r="10795" b="24130"/>
                      <wp:wrapNone/>
                      <wp:docPr id="10" name="矩形 10"/>
                      <wp:cNvGraphicFramePr/>
                      <a:graphic xmlns:a="http://schemas.openxmlformats.org/drawingml/2006/main">
                        <a:graphicData uri="http://schemas.microsoft.com/office/word/2010/wordprocessingShape">
                          <wps:wsp>
                            <wps:cNvSpPr/>
                            <wps:spPr>
                              <a:xfrm>
                                <a:off x="0" y="0"/>
                                <a:ext cx="859155" cy="3569970"/>
                              </a:xfrm>
                              <a:prstGeom prst="rect">
                                <a:avLst/>
                              </a:prstGeom>
                              <a:noFill/>
                              <a:ln w="12700" cmpd="sng">
                                <a:solidFill>
                                  <a:srgbClr val="C00000"/>
                                </a:solidFill>
                                <a:prstDash val="solid"/>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6.2pt;margin-top:1.5pt;height:281.1pt;width:67.65pt;z-index:251668480;v-text-anchor:middle;mso-width-relative:page;mso-height-relative:page;" filled="f" stroked="t" coordsize="21600,21600" o:gfxdata="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L2G9xrYAAAACQEAAA8AAAAAAAAAAQAgAAAAIgAAAGRycy9kb3ducmV2LnhtbFBLAQIUABQAAAAI&#10;AIdO4kB9HuFeXwIAALYEAAAOAAAAAAAAAAEAIAAAACcBAABkcnMvZTJvRG9jLnhtbFBLBQYAAAAA&#10;BgAGAFkBAAD4BQAAAAA=&#10;">
                      <v:fill on="f" focussize="0,0"/>
                      <v:stroke weight="1pt" color="#C00000 [2404]" joinstyle="round"/>
                      <v:imagedata o:title=""/>
                      <o:lock v:ext="edit" aspectratio="f"/>
                    </v:rect>
                  </w:pict>
                </mc:Fallback>
              </mc:AlternateContent>
            </w:r>
            <w:r>
              <w:rPr>
                <w:rFonts w:hint="eastAsia" w:ascii="宋体" w:hAnsi="宋体" w:eastAsia="宋体" w:cs="宋体"/>
                <w:b/>
                <w:bCs/>
                <w:color w:val="auto"/>
                <w:sz w:val="24"/>
                <w:szCs w:val="24"/>
                <w:highlight w:val="none"/>
                <w:lang w:val="en-US" w:eastAsia="zh-CN"/>
              </w:rPr>
              <w:drawing>
                <wp:anchor distT="0" distB="0" distL="114300" distR="114300" simplePos="0" relativeHeight="251666432" behindDoc="0" locked="0" layoutInCell="1" allowOverlap="1">
                  <wp:simplePos x="0" y="0"/>
                  <wp:positionH relativeFrom="column">
                    <wp:posOffset>200025</wp:posOffset>
                  </wp:positionH>
                  <wp:positionV relativeFrom="paragraph">
                    <wp:posOffset>12700</wp:posOffset>
                  </wp:positionV>
                  <wp:extent cx="2181225" cy="3878580"/>
                  <wp:effectExtent l="0" t="0" r="9525" b="7620"/>
                  <wp:wrapNone/>
                  <wp:docPr id="4" name="图片 4" descr="f5818c026970e3ca6004bad2858520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f5818c026970e3ca6004bad2858520fd"/>
                          <pic:cNvPicPr>
                            <a:picLocks noChangeAspect="1"/>
                          </pic:cNvPicPr>
                        </pic:nvPicPr>
                        <pic:blipFill>
                          <a:blip r:embed="rId16"/>
                          <a:stretch>
                            <a:fillRect/>
                          </a:stretch>
                        </pic:blipFill>
                        <pic:spPr>
                          <a:xfrm>
                            <a:off x="0" y="0"/>
                            <a:ext cx="2181225" cy="3878580"/>
                          </a:xfrm>
                          <a:prstGeom prst="rect">
                            <a:avLst/>
                          </a:prstGeom>
                        </pic:spPr>
                      </pic:pic>
                    </a:graphicData>
                  </a:graphic>
                </wp:anchor>
              </w:drawing>
            </w:r>
          </w:p>
        </w:tc>
      </w:tr>
      <w:tr w14:paraId="03FBA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8799" w:type="dxa"/>
            <w:gridSpan w:val="3"/>
            <w:vAlign w:val="center"/>
          </w:tcPr>
          <w:p w14:paraId="5CB6D1E6">
            <w:pPr>
              <w:pageBreakBefore w:val="0"/>
              <w:numPr>
                <w:ilvl w:val="0"/>
                <w:numId w:val="0"/>
              </w:numPr>
              <w:kinsoku/>
              <w:wordWrap/>
              <w:overflowPunct/>
              <w:topLinePunct w:val="0"/>
              <w:autoSpaceDE/>
              <w:autoSpaceDN/>
              <w:bidi w:val="0"/>
              <w:adjustRightInd/>
              <w:snapToGrid/>
              <w:spacing w:line="450" w:lineRule="exact"/>
              <w:jc w:val="center"/>
              <w:rPr>
                <w:rFonts w:hint="default" w:ascii="宋体" w:hAnsi="宋体" w:eastAsia="宋体" w:cs="宋体"/>
                <w:b w:val="0"/>
                <w:bCs w:val="0"/>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rPr>
              <w:t>脉冲布袋除尘器</w:t>
            </w:r>
            <w:r>
              <w:rPr>
                <w:rFonts w:hint="eastAsia" w:ascii="Times New Roman" w:hAnsi="Times New Roman" w:eastAsia="宋体"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lang w:val="en-US" w:eastAsia="zh-CN"/>
              </w:rPr>
              <w:t>排气筒（</w:t>
            </w:r>
            <w:r>
              <w:rPr>
                <w:rFonts w:hint="eastAsia" w:ascii="Times New Roman" w:hAnsi="Times New Roman" w:eastAsia="宋体" w:cs="Times New Roman"/>
                <w:b w:val="0"/>
                <w:bCs w:val="0"/>
                <w:color w:val="auto"/>
                <w:sz w:val="24"/>
                <w:szCs w:val="24"/>
                <w:highlight w:val="none"/>
                <w:lang w:val="en-US" w:eastAsia="zh-CN"/>
              </w:rPr>
              <w:t>DA001）</w:t>
            </w:r>
          </w:p>
        </w:tc>
      </w:tr>
      <w:tr w14:paraId="723E0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6" w:hRule="atLeast"/>
        </w:trPr>
        <w:tc>
          <w:tcPr>
            <w:tcW w:w="4399" w:type="dxa"/>
            <w:vAlign w:val="center"/>
          </w:tcPr>
          <w:p w14:paraId="55353C98">
            <w:pPr>
              <w:pageBreakBefore w:val="0"/>
              <w:numPr>
                <w:ilvl w:val="0"/>
                <w:numId w:val="0"/>
              </w:numPr>
              <w:kinsoku/>
              <w:wordWrap/>
              <w:overflowPunct/>
              <w:topLinePunct w:val="0"/>
              <w:autoSpaceDE/>
              <w:autoSpaceDN/>
              <w:bidi w:val="0"/>
              <w:adjustRightInd/>
              <w:snapToGrid/>
              <w:spacing w:line="450" w:lineRule="exact"/>
              <w:jc w:val="center"/>
              <w:rPr>
                <w:rFonts w:hint="default" w:ascii="Times New Roman" w:hAnsi="Times New Roman" w:cs="Times New Roman" w:eastAsiaTheme="minorEastAsia"/>
                <w:color w:val="auto"/>
                <w:sz w:val="24"/>
                <w:szCs w:val="24"/>
                <w:highlight w:val="none"/>
                <w:lang w:val="en-US" w:eastAsia="zh-CN"/>
              </w:rPr>
            </w:pPr>
            <w:r>
              <w:rPr>
                <w:color w:val="auto"/>
                <w:sz w:val="24"/>
                <w:highlight w:val="none"/>
              </w:rPr>
              <mc:AlternateContent>
                <mc:Choice Requires="wps">
                  <w:drawing>
                    <wp:anchor distT="0" distB="0" distL="114300" distR="114300" simplePos="0" relativeHeight="251669504" behindDoc="0" locked="0" layoutInCell="1" allowOverlap="1">
                      <wp:simplePos x="0" y="0"/>
                      <wp:positionH relativeFrom="column">
                        <wp:posOffset>303530</wp:posOffset>
                      </wp:positionH>
                      <wp:positionV relativeFrom="paragraph">
                        <wp:posOffset>312420</wp:posOffset>
                      </wp:positionV>
                      <wp:extent cx="1944370" cy="2503805"/>
                      <wp:effectExtent l="6350" t="6350" r="11430" b="23495"/>
                      <wp:wrapNone/>
                      <wp:docPr id="11" name="矩形 11"/>
                      <wp:cNvGraphicFramePr/>
                      <a:graphic xmlns:a="http://schemas.openxmlformats.org/drawingml/2006/main">
                        <a:graphicData uri="http://schemas.microsoft.com/office/word/2010/wordprocessingShape">
                          <wps:wsp>
                            <wps:cNvSpPr/>
                            <wps:spPr>
                              <a:xfrm>
                                <a:off x="0" y="0"/>
                                <a:ext cx="1944370" cy="2503805"/>
                              </a:xfrm>
                              <a:prstGeom prst="rect">
                                <a:avLst/>
                              </a:prstGeom>
                              <a:noFill/>
                              <a:ln w="12700" cmpd="sng">
                                <a:solidFill>
                                  <a:srgbClr val="C00000"/>
                                </a:solidFill>
                                <a:prstDash val="solid"/>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3.9pt;margin-top:24.6pt;height:197.15pt;width:153.1pt;z-index:251669504;v-text-anchor:middle;mso-width-relative:page;mso-height-relative:page;" filled="f" stroked="t" coordsize="21600,21600" o:gfxdata="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EjuDpfZAAAACQEAAA8AAAAAAAAAAQAgAAAAIgAAAGRycy9kb3ducmV2LnhtbFBLAQIUABQAAAAI&#10;AIdO4kBVZ7llXgIAALcEAAAOAAAAAAAAAAEAIAAAACgBAABkcnMvZTJvRG9jLnhtbFBLBQYAAAAA&#10;BgAGAFkBAAD4BQAAAAA=&#10;">
                      <v:fill on="f" focussize="0,0"/>
                      <v:stroke weight="1pt" color="#C00000 [2404]" joinstyle="round"/>
                      <v:imagedata o:title=""/>
                      <o:lock v:ext="edit" aspectratio="f"/>
                    </v:rect>
                  </w:pict>
                </mc:Fallback>
              </mc:AlternateContent>
            </w:r>
            <w:r>
              <w:rPr>
                <w:rFonts w:hint="default" w:ascii="Times New Roman" w:hAnsi="Times New Roman" w:cs="Times New Roman" w:eastAsiaTheme="minorEastAsia"/>
                <w:color w:val="auto"/>
                <w:sz w:val="24"/>
                <w:szCs w:val="24"/>
                <w:highlight w:val="none"/>
                <w:lang w:val="en-US" w:eastAsia="zh-CN"/>
              </w:rPr>
              <w:drawing>
                <wp:anchor distT="0" distB="0" distL="114300" distR="114300" simplePos="0" relativeHeight="251664384" behindDoc="0" locked="0" layoutInCell="1" allowOverlap="1">
                  <wp:simplePos x="0" y="0"/>
                  <wp:positionH relativeFrom="column">
                    <wp:posOffset>266700</wp:posOffset>
                  </wp:positionH>
                  <wp:positionV relativeFrom="paragraph">
                    <wp:posOffset>35560</wp:posOffset>
                  </wp:positionV>
                  <wp:extent cx="2092325" cy="3719195"/>
                  <wp:effectExtent l="0" t="0" r="3175" b="14605"/>
                  <wp:wrapNone/>
                  <wp:docPr id="5" name="图片 5" descr="1358c1b389f8dcc656428d7ecc0e64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358c1b389f8dcc656428d7ecc0e64ae"/>
                          <pic:cNvPicPr>
                            <a:picLocks noChangeAspect="1"/>
                          </pic:cNvPicPr>
                        </pic:nvPicPr>
                        <pic:blipFill>
                          <a:blip r:embed="rId17"/>
                          <a:stretch>
                            <a:fillRect/>
                          </a:stretch>
                        </pic:blipFill>
                        <pic:spPr>
                          <a:xfrm>
                            <a:off x="0" y="0"/>
                            <a:ext cx="2092325" cy="3719195"/>
                          </a:xfrm>
                          <a:prstGeom prst="rect">
                            <a:avLst/>
                          </a:prstGeom>
                        </pic:spPr>
                      </pic:pic>
                    </a:graphicData>
                  </a:graphic>
                </wp:anchor>
              </w:drawing>
            </w:r>
          </w:p>
        </w:tc>
        <w:tc>
          <w:tcPr>
            <w:tcW w:w="4400" w:type="dxa"/>
            <w:gridSpan w:val="2"/>
            <w:vAlign w:val="center"/>
          </w:tcPr>
          <w:p w14:paraId="5CAB3F29">
            <w:pPr>
              <w:pageBreakBefore w:val="0"/>
              <w:numPr>
                <w:ilvl w:val="0"/>
                <w:numId w:val="0"/>
              </w:numPr>
              <w:kinsoku/>
              <w:wordWrap/>
              <w:overflowPunct/>
              <w:topLinePunct w:val="0"/>
              <w:autoSpaceDE/>
              <w:autoSpaceDN/>
              <w:bidi w:val="0"/>
              <w:adjustRightInd/>
              <w:snapToGrid/>
              <w:spacing w:line="450" w:lineRule="exact"/>
              <w:jc w:val="center"/>
              <w:rPr>
                <w:rFonts w:hint="default" w:ascii="Times New Roman" w:hAnsi="Times New Roman" w:cs="Times New Roman" w:eastAsiaTheme="minorEastAsia"/>
                <w:color w:val="auto"/>
                <w:sz w:val="24"/>
                <w:szCs w:val="24"/>
                <w:highlight w:val="none"/>
                <w:lang w:val="en-US" w:eastAsia="zh-CN"/>
              </w:rPr>
            </w:pPr>
            <w:r>
              <w:rPr>
                <w:color w:val="auto"/>
                <w:sz w:val="24"/>
                <w:highlight w:val="none"/>
              </w:rPr>
              <mc:AlternateContent>
                <mc:Choice Requires="wps">
                  <w:drawing>
                    <wp:anchor distT="0" distB="0" distL="114300" distR="114300" simplePos="0" relativeHeight="251670528" behindDoc="0" locked="0" layoutInCell="1" allowOverlap="1">
                      <wp:simplePos x="0" y="0"/>
                      <wp:positionH relativeFrom="column">
                        <wp:posOffset>1376680</wp:posOffset>
                      </wp:positionH>
                      <wp:positionV relativeFrom="paragraph">
                        <wp:posOffset>28575</wp:posOffset>
                      </wp:positionV>
                      <wp:extent cx="697230" cy="3569970"/>
                      <wp:effectExtent l="6350" t="6350" r="20320" b="24130"/>
                      <wp:wrapNone/>
                      <wp:docPr id="12" name="矩形 12"/>
                      <wp:cNvGraphicFramePr/>
                      <a:graphic xmlns:a="http://schemas.openxmlformats.org/drawingml/2006/main">
                        <a:graphicData uri="http://schemas.microsoft.com/office/word/2010/wordprocessingShape">
                          <wps:wsp>
                            <wps:cNvSpPr/>
                            <wps:spPr>
                              <a:xfrm>
                                <a:off x="0" y="0"/>
                                <a:ext cx="697230" cy="3569970"/>
                              </a:xfrm>
                              <a:prstGeom prst="rect">
                                <a:avLst/>
                              </a:prstGeom>
                              <a:noFill/>
                              <a:ln w="12700" cmpd="sng">
                                <a:solidFill>
                                  <a:srgbClr val="C00000"/>
                                </a:solidFill>
                                <a:prstDash val="solid"/>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08.4pt;margin-top:2.25pt;height:281.1pt;width:54.9pt;z-index:251670528;v-text-anchor:middle;mso-width-relative:page;mso-height-relative:page;" filled="f" stroked="t" coordsize="21600,21600" o:gfxdata="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Kh+6a9gAAAAJAQAADwAAAAAAAAABACAAAAAiAAAAZHJzL2Rvd25yZXYueG1sUEsBAhQAFAAAAAgA&#10;h07iQNBb6PFeAgAAtgQAAA4AAAAAAAAAAQAgAAAAJwEAAGRycy9lMm9Eb2MueG1sUEsFBgAAAAAG&#10;AAYAWQEAAPcFAAAAAA==&#10;">
                      <v:fill on="f" focussize="0,0"/>
                      <v:stroke weight="1pt" color="#C00000 [2404]" joinstyle="round"/>
                      <v:imagedata o:title=""/>
                      <o:lock v:ext="edit" aspectratio="f"/>
                    </v:rect>
                  </w:pict>
                </mc:Fallback>
              </mc:AlternateContent>
            </w:r>
            <w:r>
              <w:rPr>
                <w:color w:val="auto"/>
                <w:sz w:val="24"/>
                <w:highlight w:val="none"/>
              </w:rPr>
              <mc:AlternateContent>
                <mc:Choice Requires="wps">
                  <w:drawing>
                    <wp:anchor distT="0" distB="0" distL="114300" distR="114300" simplePos="0" relativeHeight="251671552" behindDoc="0" locked="0" layoutInCell="1" allowOverlap="1">
                      <wp:simplePos x="0" y="0"/>
                      <wp:positionH relativeFrom="column">
                        <wp:posOffset>329565</wp:posOffset>
                      </wp:positionH>
                      <wp:positionV relativeFrom="paragraph">
                        <wp:posOffset>2208530</wp:posOffset>
                      </wp:positionV>
                      <wp:extent cx="858520" cy="1437640"/>
                      <wp:effectExtent l="6350" t="6350" r="11430" b="22860"/>
                      <wp:wrapNone/>
                      <wp:docPr id="13" name="矩形 13"/>
                      <wp:cNvGraphicFramePr/>
                      <a:graphic xmlns:a="http://schemas.openxmlformats.org/drawingml/2006/main">
                        <a:graphicData uri="http://schemas.microsoft.com/office/word/2010/wordprocessingShape">
                          <wps:wsp>
                            <wps:cNvSpPr/>
                            <wps:spPr>
                              <a:xfrm>
                                <a:off x="0" y="0"/>
                                <a:ext cx="858520" cy="1437640"/>
                              </a:xfrm>
                              <a:prstGeom prst="rect">
                                <a:avLst/>
                              </a:prstGeom>
                              <a:noFill/>
                              <a:ln w="12700" cmpd="sng">
                                <a:solidFill>
                                  <a:srgbClr val="C00000"/>
                                </a:solidFill>
                                <a:prstDash val="solid"/>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5.95pt;margin-top:173.9pt;height:113.2pt;width:67.6pt;z-index:251671552;v-text-anchor:middle;mso-width-relative:page;mso-height-relative:page;" filled="f" stroked="t" coordsize="21600,21600" o:gfxdata="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7kuCUdgAAAAKAQAADwAAAAAAAAABACAAAAAiAAAAZHJzL2Rvd25yZXYueG1sUEsBAhQAFAAAAAgA&#10;h07iQCFhKjdeAgAAtgQAAA4AAAAAAAAAAQAgAAAAJwEAAGRycy9lMm9Eb2MueG1sUEsFBgAAAAAG&#10;AAYAWQEAAPcFAAAAAA==&#10;">
                      <v:fill on="f" focussize="0,0"/>
                      <v:stroke weight="1pt" color="#C00000 [2404]" joinstyle="round"/>
                      <v:imagedata o:title=""/>
                      <o:lock v:ext="edit" aspectratio="f"/>
                    </v:rect>
                  </w:pict>
                </mc:Fallback>
              </mc:AlternateContent>
            </w:r>
            <w:r>
              <w:rPr>
                <w:rFonts w:hint="default" w:ascii="Times New Roman" w:hAnsi="Times New Roman" w:cs="Times New Roman" w:eastAsiaTheme="minorEastAsia"/>
                <w:color w:val="auto"/>
                <w:sz w:val="24"/>
                <w:szCs w:val="24"/>
                <w:highlight w:val="none"/>
                <w:lang w:val="en-US" w:eastAsia="zh-CN"/>
              </w:rPr>
              <w:drawing>
                <wp:anchor distT="0" distB="0" distL="114300" distR="114300" simplePos="0" relativeHeight="251665408" behindDoc="0" locked="0" layoutInCell="1" allowOverlap="1">
                  <wp:simplePos x="0" y="0"/>
                  <wp:positionH relativeFrom="column">
                    <wp:posOffset>242570</wp:posOffset>
                  </wp:positionH>
                  <wp:positionV relativeFrom="paragraph">
                    <wp:posOffset>19685</wp:posOffset>
                  </wp:positionV>
                  <wp:extent cx="2085340" cy="3707130"/>
                  <wp:effectExtent l="0" t="0" r="10160" b="7620"/>
                  <wp:wrapNone/>
                  <wp:docPr id="7" name="图片 7" descr="微信图片_20260323100906_160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微信图片_20260323100906_160_300"/>
                          <pic:cNvPicPr>
                            <a:picLocks noChangeAspect="1"/>
                          </pic:cNvPicPr>
                        </pic:nvPicPr>
                        <pic:blipFill>
                          <a:blip r:embed="rId18"/>
                          <a:stretch>
                            <a:fillRect/>
                          </a:stretch>
                        </pic:blipFill>
                        <pic:spPr>
                          <a:xfrm>
                            <a:off x="0" y="0"/>
                            <a:ext cx="2085340" cy="3707130"/>
                          </a:xfrm>
                          <a:prstGeom prst="rect">
                            <a:avLst/>
                          </a:prstGeom>
                        </pic:spPr>
                      </pic:pic>
                    </a:graphicData>
                  </a:graphic>
                </wp:anchor>
              </w:drawing>
            </w:r>
          </w:p>
        </w:tc>
      </w:tr>
      <w:tr w14:paraId="2CF36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8799" w:type="dxa"/>
            <w:gridSpan w:val="3"/>
            <w:vAlign w:val="center"/>
          </w:tcPr>
          <w:p w14:paraId="02DBFE89">
            <w:pPr>
              <w:pageBreakBefore w:val="0"/>
              <w:numPr>
                <w:ilvl w:val="0"/>
                <w:numId w:val="0"/>
              </w:numPr>
              <w:kinsoku/>
              <w:wordWrap/>
              <w:overflowPunct/>
              <w:topLinePunct w:val="0"/>
              <w:autoSpaceDE/>
              <w:autoSpaceDN/>
              <w:bidi w:val="0"/>
              <w:adjustRightInd/>
              <w:snapToGrid/>
              <w:spacing w:line="450" w:lineRule="exact"/>
              <w:jc w:val="center"/>
              <w:rPr>
                <w:rFonts w:hint="default" w:ascii="Times New Roman" w:hAnsi="Times New Roman" w:cs="Times New Roman" w:eastAsiaTheme="minorEastAsia"/>
                <w:color w:val="auto"/>
                <w:sz w:val="24"/>
                <w:szCs w:val="24"/>
                <w:highlight w:val="none"/>
                <w:lang w:val="en-US" w:eastAsia="zh-CN"/>
              </w:rPr>
            </w:pPr>
            <w:r>
              <w:rPr>
                <w:rFonts w:hint="eastAsia" w:ascii="Times New Roman" w:hAnsi="Times New Roman" w:cs="Times New Roman" w:eastAsiaTheme="minorEastAsia"/>
                <w:color w:val="auto"/>
                <w:sz w:val="24"/>
                <w:szCs w:val="24"/>
                <w:highlight w:val="none"/>
                <w:lang w:val="en-US" w:eastAsia="zh-CN"/>
              </w:rPr>
              <w:t>集气罩+碱液喷淋塔+</w:t>
            </w:r>
            <w:r>
              <w:rPr>
                <w:rFonts w:hint="default" w:ascii="Times New Roman" w:hAnsi="Times New Roman" w:cs="Times New Roman" w:eastAsiaTheme="minorEastAsia"/>
                <w:color w:val="auto"/>
                <w:sz w:val="24"/>
                <w:szCs w:val="24"/>
                <w:highlight w:val="none"/>
                <w:lang w:val="en-US" w:eastAsia="zh-CN"/>
              </w:rPr>
              <w:t>排气</w:t>
            </w:r>
            <w:r>
              <w:rPr>
                <w:rFonts w:hint="default" w:ascii="Times New Roman" w:hAnsi="Times New Roman" w:eastAsia="宋体" w:cs="Times New Roman"/>
                <w:b w:val="0"/>
                <w:bCs w:val="0"/>
                <w:color w:val="auto"/>
                <w:sz w:val="24"/>
                <w:szCs w:val="24"/>
                <w:highlight w:val="none"/>
                <w:lang w:val="en-US" w:eastAsia="zh-CN"/>
              </w:rPr>
              <w:t>筒（</w:t>
            </w:r>
            <w:r>
              <w:rPr>
                <w:rFonts w:hint="eastAsia" w:ascii="Times New Roman" w:hAnsi="Times New Roman" w:eastAsia="宋体" w:cs="Times New Roman"/>
                <w:b w:val="0"/>
                <w:bCs w:val="0"/>
                <w:color w:val="auto"/>
                <w:sz w:val="24"/>
                <w:szCs w:val="24"/>
                <w:highlight w:val="none"/>
                <w:lang w:val="en-US" w:eastAsia="zh-CN"/>
              </w:rPr>
              <w:t>DA002）</w:t>
            </w:r>
          </w:p>
        </w:tc>
      </w:tr>
    </w:tbl>
    <w:p w14:paraId="70D33E6C">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textAlignment w:val="auto"/>
        <w:rPr>
          <w:rFonts w:hint="default" w:ascii="Times New Roman" w:hAnsi="Times New Roman" w:eastAsiaTheme="minorEastAsia"/>
          <w:color w:val="000000" w:themeColor="text1"/>
          <w:sz w:val="24"/>
          <w:szCs w:val="24"/>
          <w:highlight w:val="none"/>
          <w:lang w:val="en-US" w:eastAsia="zh-CN"/>
          <w14:textFill>
            <w14:solidFill>
              <w14:schemeClr w14:val="tx1"/>
            </w14:solidFill>
          </w14:textFill>
        </w:rPr>
      </w:pP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无组织废气</w:t>
      </w:r>
    </w:p>
    <w:p w14:paraId="68FEF7D8">
      <w:pPr>
        <w:autoSpaceDE w:val="0"/>
        <w:autoSpaceDN w:val="0"/>
        <w:adjustRightInd w:val="0"/>
        <w:spacing w:line="360" w:lineRule="auto"/>
        <w:ind w:firstLine="480" w:firstLineChars="200"/>
        <w:rPr>
          <w:rFonts w:hint="eastAsia" w:ascii="Times New Roman" w:hAnsi="Times New Roman" w:cs="Times New Roman" w:eastAsiaTheme="minorEastAsia"/>
          <w:color w:val="auto"/>
          <w:sz w:val="24"/>
          <w:szCs w:val="24"/>
          <w:highlight w:val="none"/>
          <w:lang w:val="en-US" w:eastAsia="zh-CN"/>
        </w:rPr>
      </w:pPr>
      <w:r>
        <w:rPr>
          <w:rFonts w:hint="eastAsia" w:ascii="Times New Roman" w:hAnsi="Times New Roman" w:cs="Times New Roman" w:eastAsiaTheme="minorEastAsia"/>
          <w:color w:val="auto"/>
          <w:sz w:val="24"/>
          <w:szCs w:val="24"/>
          <w:highlight w:val="none"/>
          <w:lang w:val="en-US" w:eastAsia="zh-CN"/>
        </w:rPr>
        <w:t>加强有组织收集，车间封闭等措施减少无组织排放。</w:t>
      </w:r>
    </w:p>
    <w:p w14:paraId="5FE7E8F2">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4.1.</w:t>
      </w:r>
      <w:r>
        <w:rPr>
          <w:rFonts w:hint="eastAsia" w:eastAsia="宋体" w:cs="Times New Roman"/>
          <w:color w:val="000000" w:themeColor="text1"/>
          <w:highlight w:val="none"/>
          <w:lang w:val="en-US" w:eastAsia="zh-CN"/>
          <w14:textFill>
            <w14:solidFill>
              <w14:schemeClr w14:val="tx1"/>
            </w14:solidFill>
          </w14:textFill>
        </w:rPr>
        <w:t>3</w:t>
      </w:r>
      <w:r>
        <w:rPr>
          <w:rFonts w:hint="default" w:ascii="Times New Roman" w:hAnsi="Times New Roman" w:eastAsia="宋体" w:cs="Times New Roman"/>
          <w:color w:val="000000" w:themeColor="text1"/>
          <w:highlight w:val="none"/>
          <w14:textFill>
            <w14:solidFill>
              <w14:schemeClr w14:val="tx1"/>
            </w14:solidFill>
          </w14:textFill>
        </w:rPr>
        <w:t>噪声</w:t>
      </w:r>
    </w:p>
    <w:p w14:paraId="418398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rPr>
        <w:t>本项目噪声源主要为</w:t>
      </w:r>
      <w:r>
        <w:rPr>
          <w:rFonts w:hint="eastAsia" w:ascii="Times New Roman" w:hAnsi="Times New Roman" w:eastAsia="宋体" w:cs="Times New Roman"/>
          <w:bCs/>
          <w:color w:val="auto"/>
          <w:sz w:val="24"/>
          <w:szCs w:val="24"/>
          <w:highlight w:val="none"/>
          <w:lang w:val="en-US" w:eastAsia="zh-CN"/>
        </w:rPr>
        <w:t>切割机、抛光机、</w:t>
      </w:r>
      <w:r>
        <w:rPr>
          <w:rFonts w:hint="eastAsia" w:ascii="Times New Roman" w:hAnsi="Times New Roman" w:eastAsia="宋体" w:cs="Times New Roman"/>
          <w:color w:val="000000"/>
          <w:sz w:val="24"/>
          <w:szCs w:val="24"/>
          <w:highlight w:val="none"/>
          <w:lang w:val="en-US" w:eastAsia="zh-CN" w:bidi="ar"/>
        </w:rPr>
        <w:t>泵类、风机等设备</w:t>
      </w:r>
      <w:r>
        <w:rPr>
          <w:rFonts w:ascii="Times New Roman" w:hAnsi="Times New Roman" w:eastAsia="宋体" w:cs="Times New Roman"/>
          <w:color w:val="000000"/>
          <w:sz w:val="24"/>
          <w:szCs w:val="24"/>
          <w:highlight w:val="none"/>
          <w:lang w:bidi="ar"/>
        </w:rPr>
        <w:t>运行噪声，工程采取选取低噪声设备、</w:t>
      </w:r>
      <w:r>
        <w:rPr>
          <w:rFonts w:hint="eastAsia" w:ascii="Times New Roman" w:hAnsi="Times New Roman" w:eastAsia="宋体" w:cs="Times New Roman"/>
          <w:color w:val="000000"/>
          <w:sz w:val="24"/>
          <w:szCs w:val="24"/>
          <w:highlight w:val="none"/>
          <w:lang w:val="en-US" w:eastAsia="zh-CN" w:bidi="ar"/>
        </w:rPr>
        <w:t>厂房隔音，加装</w:t>
      </w:r>
      <w:r>
        <w:rPr>
          <w:rFonts w:hint="default" w:ascii="Times New Roman" w:hAnsi="Times New Roman" w:eastAsia="宋体" w:cs="Times New Roman"/>
          <w:color w:val="000000"/>
          <w:sz w:val="24"/>
          <w:szCs w:val="24"/>
          <w:highlight w:val="none"/>
          <w:lang w:bidi="ar"/>
        </w:rPr>
        <w:t>隔声门窗等措施</w:t>
      </w:r>
      <w:r>
        <w:rPr>
          <w:rFonts w:ascii="Times New Roman" w:hAnsi="Times New Roman" w:eastAsia="宋体" w:cs="Times New Roman"/>
          <w:color w:val="000000"/>
          <w:sz w:val="24"/>
          <w:szCs w:val="24"/>
          <w:highlight w:val="none"/>
          <w:lang w:bidi="ar"/>
        </w:rPr>
        <w:t>控制噪声对周围环境的影响</w:t>
      </w:r>
      <w:r>
        <w:rPr>
          <w:rFonts w:hint="eastAsia" w:ascii="Times New Roman" w:hAnsi="Times New Roman" w:eastAsia="宋体" w:cs="Times New Roman"/>
          <w:bCs/>
          <w:color w:val="auto"/>
          <w:sz w:val="24"/>
          <w:szCs w:val="24"/>
          <w:highlight w:val="none"/>
          <w:lang w:val="en-US" w:eastAsia="zh-CN"/>
        </w:rPr>
        <w:t>。</w:t>
      </w:r>
    </w:p>
    <w:p w14:paraId="0D194FE1">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4.1.</w:t>
      </w:r>
      <w:r>
        <w:rPr>
          <w:rFonts w:hint="eastAsia" w:eastAsia="宋体" w:cs="Times New Roman"/>
          <w:color w:val="000000" w:themeColor="text1"/>
          <w:highlight w:val="none"/>
          <w:lang w:val="en-US" w:eastAsia="zh-CN"/>
          <w14:textFill>
            <w14:solidFill>
              <w14:schemeClr w14:val="tx1"/>
            </w14:solidFill>
          </w14:textFill>
        </w:rPr>
        <w:t>4</w:t>
      </w:r>
      <w:r>
        <w:rPr>
          <w:rFonts w:hint="default" w:ascii="Times New Roman" w:hAnsi="Times New Roman" w:eastAsia="宋体" w:cs="Times New Roman"/>
          <w:color w:val="000000" w:themeColor="text1"/>
          <w:highlight w:val="none"/>
          <w14:textFill>
            <w14:solidFill>
              <w14:schemeClr w14:val="tx1"/>
            </w14:solidFill>
          </w14:textFill>
        </w:rPr>
        <w:t>固体废物</w:t>
      </w:r>
    </w:p>
    <w:p w14:paraId="363BAFEC">
      <w:pPr>
        <w:keepNext w:val="0"/>
        <w:keepLines w:val="0"/>
        <w:pageBreakBefore w:val="0"/>
        <w:widowControl w:val="0"/>
        <w:kinsoku/>
        <w:wordWrap/>
        <w:overflowPunct/>
        <w:topLinePunct w:val="0"/>
        <w:autoSpaceDE w:val="0"/>
        <w:autoSpaceDN w:val="0"/>
        <w:bidi w:val="0"/>
        <w:adjustRightInd w:val="0"/>
        <w:spacing w:line="480" w:lineRule="exact"/>
        <w:ind w:left="0" w:leftChars="0" w:firstLine="480" w:firstLineChars="200"/>
        <w:textAlignment w:val="auto"/>
        <w:rPr>
          <w:rFonts w:hint="eastAsia"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rPr>
        <w:t>本</w:t>
      </w:r>
      <w:r>
        <w:rPr>
          <w:rFonts w:hint="eastAsia" w:ascii="Times New Roman" w:hAnsi="Times New Roman" w:cs="Times New Roman" w:eastAsiaTheme="minorEastAsia"/>
          <w:color w:val="auto"/>
          <w:sz w:val="24"/>
          <w:szCs w:val="24"/>
          <w:highlight w:val="none"/>
          <w:lang w:val="en-US" w:eastAsia="zh-CN"/>
        </w:rPr>
        <w:t>项目固体废物为一般固废、危险废物及生活垃圾。</w:t>
      </w:r>
    </w:p>
    <w:p w14:paraId="16BB0912">
      <w:pPr>
        <w:keepNext w:val="0"/>
        <w:keepLines w:val="0"/>
        <w:pageBreakBefore w:val="0"/>
        <w:widowControl w:val="0"/>
        <w:kinsoku/>
        <w:wordWrap/>
        <w:overflowPunct/>
        <w:topLinePunct w:val="0"/>
        <w:autoSpaceDE w:val="0"/>
        <w:autoSpaceDN w:val="0"/>
        <w:bidi w:val="0"/>
        <w:adjustRightInd w:val="0"/>
        <w:spacing w:line="480" w:lineRule="exact"/>
        <w:ind w:left="0" w:leftChars="0" w:firstLine="480" w:firstLineChars="200"/>
        <w:textAlignment w:val="auto"/>
        <w:rPr>
          <w:rFonts w:hint="eastAsia" w:ascii="Times New Roman" w:hAnsi="Times New Roman" w:cs="Times New Roman" w:eastAsiaTheme="minorEastAsia"/>
          <w:color w:val="auto"/>
          <w:sz w:val="24"/>
          <w:szCs w:val="24"/>
          <w:highlight w:val="none"/>
          <w:lang w:val="en-US" w:eastAsia="zh-CN"/>
        </w:rPr>
      </w:pPr>
      <w:r>
        <w:rPr>
          <w:rFonts w:hint="eastAsia" w:ascii="Times New Roman" w:hAnsi="Times New Roman" w:cs="Times New Roman" w:eastAsiaTheme="minorEastAsia"/>
          <w:color w:val="auto"/>
          <w:sz w:val="24"/>
          <w:szCs w:val="24"/>
          <w:highlight w:val="none"/>
          <w:lang w:val="en-US" w:eastAsia="zh-CN"/>
        </w:rPr>
        <w:t>一般固废切割废边角料、废金属屑、废抛光砂轮、废原料包装、除尘灰、废布袋、不合格产品收集后暂存于一般固废库中，定期外售；纯水制备设备废活性炭、纯水制备设备废树脂膜收集后由纯水制备设备厂家回收。</w:t>
      </w:r>
    </w:p>
    <w:p w14:paraId="44180CB0">
      <w:pPr>
        <w:pStyle w:val="2"/>
        <w:keepNext w:val="0"/>
        <w:keepLines w:val="0"/>
        <w:pageBreakBefore w:val="0"/>
        <w:widowControl w:val="0"/>
        <w:kinsoku/>
        <w:wordWrap/>
        <w:overflowPunct/>
        <w:topLinePunct w:val="0"/>
        <w:autoSpaceDE w:val="0"/>
        <w:autoSpaceDN w:val="0"/>
        <w:bidi w:val="0"/>
        <w:adjustRightInd w:val="0"/>
        <w:snapToGrid/>
        <w:spacing w:beforeLines="0" w:afterLines="0" w:line="480" w:lineRule="exact"/>
        <w:ind w:left="0" w:leftChars="0" w:firstLine="480" w:firstLineChars="200"/>
        <w:jc w:val="both"/>
        <w:textAlignment w:val="auto"/>
        <w:rPr>
          <w:rFonts w:ascii="Times New Roman" w:hAnsi="Times New Roman"/>
          <w:color w:val="000000" w:themeColor="text1"/>
          <w:kern w:val="0"/>
          <w:sz w:val="24"/>
          <w:szCs w:val="24"/>
          <w:highlight w:val="none"/>
          <w14:textFill>
            <w14:solidFill>
              <w14:schemeClr w14:val="tx1"/>
            </w14:solidFill>
          </w14:textFill>
        </w:rPr>
      </w:pPr>
      <w:r>
        <w:rPr>
          <w:rFonts w:hint="eastAsia" w:ascii="Times New Roman" w:hAnsi="Times New Roman"/>
          <w:color w:val="000000" w:themeColor="text1"/>
          <w:kern w:val="0"/>
          <w:sz w:val="24"/>
          <w:szCs w:val="24"/>
          <w:highlight w:val="none"/>
          <w:lang w:val="en-US" w:eastAsia="zh-CN"/>
          <w14:textFill>
            <w14:solidFill>
              <w14:schemeClr w14:val="tx1"/>
            </w14:solidFill>
          </w14:textFill>
        </w:rPr>
        <w:t>危险废物</w:t>
      </w:r>
      <w:r>
        <w:rPr>
          <w:rFonts w:hint="eastAsia" w:ascii="Times New Roman" w:hAnsi="Times New Roman"/>
          <w:color w:val="000000" w:themeColor="text1"/>
          <w:kern w:val="0"/>
          <w:sz w:val="24"/>
          <w:szCs w:val="24"/>
          <w:highlight w:val="none"/>
          <w14:textFill>
            <w14:solidFill>
              <w14:schemeClr w14:val="tx1"/>
            </w14:solidFill>
          </w14:textFill>
        </w:rPr>
        <w:t>废润滑油</w:t>
      </w:r>
      <w:r>
        <w:rPr>
          <w:rFonts w:hint="eastAsia" w:ascii="Times New Roman" w:hAnsi="Times New Roman"/>
          <w:color w:val="000000" w:themeColor="text1"/>
          <w:kern w:val="0"/>
          <w:sz w:val="24"/>
          <w:szCs w:val="24"/>
          <w:highlight w:val="none"/>
          <w:lang w:eastAsia="zh-CN"/>
          <w14:textFill>
            <w14:solidFill>
              <w14:schemeClr w14:val="tx1"/>
            </w14:solidFill>
          </w14:textFill>
        </w:rPr>
        <w:t>、</w:t>
      </w:r>
      <w:r>
        <w:rPr>
          <w:rFonts w:hint="eastAsia" w:ascii="Times New Roman" w:hAnsi="Times New Roman"/>
          <w:color w:val="000000" w:themeColor="text1"/>
          <w:kern w:val="0"/>
          <w:sz w:val="24"/>
          <w:szCs w:val="24"/>
          <w:highlight w:val="none"/>
          <w14:textFill>
            <w14:solidFill>
              <w14:schemeClr w14:val="tx1"/>
            </w14:solidFill>
          </w14:textFill>
        </w:rPr>
        <w:t>废润滑油桶</w:t>
      </w:r>
      <w:r>
        <w:rPr>
          <w:rFonts w:hint="eastAsia" w:ascii="Times New Roman" w:hAnsi="Times New Roman"/>
          <w:color w:val="000000" w:themeColor="text1"/>
          <w:kern w:val="0"/>
          <w:sz w:val="24"/>
          <w:szCs w:val="24"/>
          <w:highlight w:val="none"/>
          <w:lang w:eastAsia="zh-CN"/>
          <w14:textFill>
            <w14:solidFill>
              <w14:schemeClr w14:val="tx1"/>
            </w14:solidFill>
          </w14:textFill>
        </w:rPr>
        <w:t>、</w:t>
      </w:r>
      <w:r>
        <w:rPr>
          <w:rFonts w:hint="eastAsia" w:ascii="Times New Roman" w:hAnsi="Times New Roman"/>
          <w:color w:val="000000" w:themeColor="text1"/>
          <w:kern w:val="0"/>
          <w:sz w:val="24"/>
          <w:szCs w:val="24"/>
          <w:highlight w:val="none"/>
          <w14:textFill>
            <w14:solidFill>
              <w14:schemeClr w14:val="tx1"/>
            </w14:solidFill>
          </w14:textFill>
        </w:rPr>
        <w:t>槽内油泥</w:t>
      </w:r>
      <w:r>
        <w:rPr>
          <w:rFonts w:hint="eastAsia" w:ascii="Times New Roman" w:hAnsi="Times New Roman"/>
          <w:color w:val="000000" w:themeColor="text1"/>
          <w:kern w:val="0"/>
          <w:sz w:val="24"/>
          <w:szCs w:val="24"/>
          <w:highlight w:val="none"/>
          <w:lang w:eastAsia="zh-CN"/>
          <w14:textFill>
            <w14:solidFill>
              <w14:schemeClr w14:val="tx1"/>
            </w14:solidFill>
          </w14:textFill>
        </w:rPr>
        <w:t>、</w:t>
      </w:r>
      <w:r>
        <w:rPr>
          <w:rFonts w:hint="eastAsia" w:ascii="Times New Roman" w:hAnsi="Times New Roman"/>
          <w:color w:val="000000" w:themeColor="text1"/>
          <w:kern w:val="0"/>
          <w:sz w:val="24"/>
          <w:szCs w:val="24"/>
          <w:highlight w:val="none"/>
          <w14:textFill>
            <w14:solidFill>
              <w14:schemeClr w14:val="tx1"/>
            </w14:solidFill>
          </w14:textFill>
        </w:rPr>
        <w:t>化学品包装瓶/桶</w:t>
      </w:r>
      <w:r>
        <w:rPr>
          <w:rFonts w:hint="eastAsia" w:ascii="Times New Roman" w:hAnsi="Times New Roman"/>
          <w:color w:val="000000" w:themeColor="text1"/>
          <w:kern w:val="0"/>
          <w:sz w:val="24"/>
          <w:szCs w:val="24"/>
          <w:highlight w:val="none"/>
          <w:lang w:eastAsia="zh-CN"/>
          <w14:textFill>
            <w14:solidFill>
              <w14:schemeClr w14:val="tx1"/>
            </w14:solidFill>
          </w14:textFill>
        </w:rPr>
        <w:t>、</w:t>
      </w:r>
      <w:r>
        <w:rPr>
          <w:rFonts w:hint="eastAsia" w:ascii="Times New Roman" w:hAnsi="Times New Roman"/>
          <w:color w:val="000000" w:themeColor="text1"/>
          <w:kern w:val="0"/>
          <w:sz w:val="24"/>
          <w:szCs w:val="24"/>
          <w:highlight w:val="none"/>
          <w14:textFill>
            <w14:solidFill>
              <w14:schemeClr w14:val="tx1"/>
            </w14:solidFill>
          </w14:textFill>
        </w:rPr>
        <w:t>废槽渣</w:t>
      </w:r>
      <w:r>
        <w:rPr>
          <w:rFonts w:hint="eastAsia" w:ascii="Times New Roman" w:hAnsi="Times New Roman"/>
          <w:color w:val="000000" w:themeColor="text1"/>
          <w:kern w:val="0"/>
          <w:sz w:val="24"/>
          <w:szCs w:val="24"/>
          <w:highlight w:val="none"/>
          <w:lang w:eastAsia="zh-CN"/>
          <w14:textFill>
            <w14:solidFill>
              <w14:schemeClr w14:val="tx1"/>
            </w14:solidFill>
          </w14:textFill>
        </w:rPr>
        <w:t>、</w:t>
      </w:r>
      <w:r>
        <w:rPr>
          <w:rFonts w:hint="eastAsia" w:ascii="Times New Roman" w:hAnsi="Times New Roman"/>
          <w:color w:val="000000" w:themeColor="text1"/>
          <w:kern w:val="0"/>
          <w:sz w:val="24"/>
          <w:szCs w:val="24"/>
          <w:highlight w:val="none"/>
          <w:lang w:val="en-US" w:eastAsia="zh-CN"/>
          <w14:textFill>
            <w14:solidFill>
              <w14:schemeClr w14:val="tx1"/>
            </w14:solidFill>
          </w14:textFill>
        </w:rPr>
        <w:t>污水处理设备</w:t>
      </w:r>
      <w:r>
        <w:rPr>
          <w:rFonts w:hint="eastAsia" w:ascii="Times New Roman" w:hAnsi="Times New Roman"/>
          <w:color w:val="000000" w:themeColor="text1"/>
          <w:kern w:val="0"/>
          <w:sz w:val="24"/>
          <w:szCs w:val="24"/>
          <w:highlight w:val="none"/>
          <w14:textFill>
            <w14:solidFill>
              <w14:schemeClr w14:val="tx1"/>
            </w14:solidFill>
          </w14:textFill>
        </w:rPr>
        <w:t>污泥</w:t>
      </w:r>
      <w:r>
        <w:rPr>
          <w:rFonts w:hint="eastAsia" w:ascii="Times New Roman" w:hAnsi="Times New Roman"/>
          <w:color w:val="000000" w:themeColor="text1"/>
          <w:kern w:val="0"/>
          <w:sz w:val="24"/>
          <w:szCs w:val="24"/>
          <w:highlight w:val="none"/>
          <w:lang w:eastAsia="zh-CN"/>
          <w14:textFill>
            <w14:solidFill>
              <w14:schemeClr w14:val="tx1"/>
            </w14:solidFill>
          </w14:textFill>
        </w:rPr>
        <w:t>、</w:t>
      </w:r>
      <w:r>
        <w:rPr>
          <w:rFonts w:hint="eastAsia" w:ascii="Times New Roman" w:hAnsi="Times New Roman"/>
          <w:color w:val="000000" w:themeColor="text1"/>
          <w:kern w:val="0"/>
          <w:sz w:val="24"/>
          <w:szCs w:val="24"/>
          <w:highlight w:val="none"/>
          <w14:textFill>
            <w14:solidFill>
              <w14:schemeClr w14:val="tx1"/>
            </w14:solidFill>
          </w14:textFill>
        </w:rPr>
        <w:t>废滤膜</w:t>
      </w:r>
      <w:r>
        <w:rPr>
          <w:rFonts w:hint="eastAsia" w:ascii="Times New Roman" w:hAnsi="Times New Roman"/>
          <w:color w:val="000000" w:themeColor="text1"/>
          <w:kern w:val="0"/>
          <w:sz w:val="24"/>
          <w:szCs w:val="24"/>
          <w:highlight w:val="none"/>
          <w:lang w:eastAsia="zh-CN"/>
          <w14:textFill>
            <w14:solidFill>
              <w14:schemeClr w14:val="tx1"/>
            </w14:solidFill>
          </w14:textFill>
        </w:rPr>
        <w:t>、</w:t>
      </w:r>
      <w:r>
        <w:rPr>
          <w:rFonts w:hint="eastAsia" w:ascii="Times New Roman" w:hAnsi="Times New Roman"/>
          <w:color w:val="000000" w:themeColor="text1"/>
          <w:kern w:val="0"/>
          <w:sz w:val="24"/>
          <w:szCs w:val="24"/>
          <w:highlight w:val="none"/>
          <w14:textFill>
            <w14:solidFill>
              <w14:schemeClr w14:val="tx1"/>
            </w14:solidFill>
          </w14:textFill>
        </w:rPr>
        <w:t>废滤芯</w:t>
      </w:r>
      <w:r>
        <w:rPr>
          <w:rFonts w:hint="eastAsia" w:ascii="Times New Roman" w:hAnsi="Times New Roman"/>
          <w:color w:val="000000" w:themeColor="text1"/>
          <w:kern w:val="0"/>
          <w:sz w:val="24"/>
          <w:szCs w:val="24"/>
          <w:highlight w:val="none"/>
          <w:lang w:eastAsia="zh-CN"/>
          <w14:textFill>
            <w14:solidFill>
              <w14:schemeClr w14:val="tx1"/>
            </w14:solidFill>
          </w14:textFill>
        </w:rPr>
        <w:t>、</w:t>
      </w:r>
      <w:r>
        <w:rPr>
          <w:rFonts w:hint="eastAsia" w:ascii="Times New Roman" w:hAnsi="Times New Roman"/>
          <w:color w:val="000000" w:themeColor="text1"/>
          <w:kern w:val="0"/>
          <w:sz w:val="24"/>
          <w:szCs w:val="24"/>
          <w:highlight w:val="none"/>
          <w14:textFill>
            <w14:solidFill>
              <w14:schemeClr w14:val="tx1"/>
            </w14:solidFill>
          </w14:textFill>
        </w:rPr>
        <w:t>隔油池废油</w:t>
      </w:r>
      <w:r>
        <w:rPr>
          <w:rFonts w:hint="eastAsia" w:ascii="Times New Roman" w:hAnsi="Times New Roman"/>
          <w:color w:val="000000" w:themeColor="text1"/>
          <w:kern w:val="0"/>
          <w:sz w:val="24"/>
          <w:szCs w:val="24"/>
          <w:highlight w:val="none"/>
          <w:lang w:eastAsia="zh-CN"/>
          <w14:textFill>
            <w14:solidFill>
              <w14:schemeClr w14:val="tx1"/>
            </w14:solidFill>
          </w14:textFill>
        </w:rPr>
        <w:t>、</w:t>
      </w:r>
      <w:r>
        <w:rPr>
          <w:rFonts w:hint="eastAsia" w:ascii="Times New Roman" w:hAnsi="Times New Roman"/>
          <w:color w:val="000000" w:themeColor="text1"/>
          <w:kern w:val="0"/>
          <w:sz w:val="24"/>
          <w:szCs w:val="24"/>
          <w:highlight w:val="none"/>
          <w:lang w:val="en-US" w:eastAsia="zh-CN"/>
          <w14:textFill>
            <w14:solidFill>
              <w14:schemeClr w14:val="tx1"/>
            </w14:solidFill>
          </w14:textFill>
        </w:rPr>
        <w:t>反渗透浓排水</w:t>
      </w:r>
      <w:r>
        <w:rPr>
          <w:rFonts w:hint="eastAsia" w:ascii="Times New Roman" w:hAnsi="Times New Roman"/>
          <w:color w:val="000000" w:themeColor="text1"/>
          <w:kern w:val="0"/>
          <w:szCs w:val="21"/>
          <w:highlight w:val="none"/>
          <w:lang w:val="en-US" w:eastAsia="zh-CN"/>
          <w14:textFill>
            <w14:solidFill>
              <w14:schemeClr w14:val="tx1"/>
            </w14:solidFill>
          </w14:textFill>
        </w:rPr>
        <w:t>收集后暂存于危废库中，定期由有</w:t>
      </w:r>
      <w:r>
        <w:rPr>
          <w:rFonts w:ascii="Times New Roman" w:hAnsi="Times New Roman"/>
          <w:color w:val="000000" w:themeColor="text1"/>
          <w:kern w:val="0"/>
          <w:szCs w:val="21"/>
          <w:highlight w:val="none"/>
          <w14:textFill>
            <w14:solidFill>
              <w14:schemeClr w14:val="tx1"/>
            </w14:solidFill>
          </w14:textFill>
        </w:rPr>
        <w:t>资质单位处置</w:t>
      </w:r>
      <w:r>
        <w:rPr>
          <w:rFonts w:ascii="Times New Roman" w:hAnsi="Times New Roman"/>
          <w:color w:val="000000" w:themeColor="text1"/>
          <w:kern w:val="0"/>
          <w:sz w:val="24"/>
          <w:szCs w:val="24"/>
          <w:highlight w:val="none"/>
          <w14:textFill>
            <w14:solidFill>
              <w14:schemeClr w14:val="tx1"/>
            </w14:solidFill>
          </w14:textFill>
        </w:rPr>
        <w:t>。</w:t>
      </w:r>
    </w:p>
    <w:p w14:paraId="29B040CD">
      <w:pPr>
        <w:pStyle w:val="38"/>
        <w:keepNext w:val="0"/>
        <w:keepLines w:val="0"/>
        <w:pageBreakBefore w:val="0"/>
        <w:widowControl w:val="0"/>
        <w:kinsoku/>
        <w:wordWrap/>
        <w:overflowPunct/>
        <w:topLinePunct w:val="0"/>
        <w:bidi w:val="0"/>
        <w:spacing w:before="0" w:beforeLines="0" w:after="0" w:afterLines="0" w:line="480" w:lineRule="exact"/>
        <w:ind w:left="0" w:leftChars="0"/>
        <w:textAlignment w:val="auto"/>
        <w:rPr>
          <w:rFonts w:hint="default" w:ascii="Times New Roman" w:hAnsi="Times New Roman" w:eastAsia="宋体" w:cs="Times New Roman"/>
          <w:b w:val="0"/>
          <w:snapToGrid/>
          <w:color w:val="000000" w:themeColor="text1"/>
          <w:kern w:val="0"/>
          <w:sz w:val="24"/>
          <w:szCs w:val="21"/>
          <w:highlight w:val="none"/>
          <w:lang w:val="en-US" w:eastAsia="zh-CN" w:bidi="ar-SA"/>
          <w14:textFill>
            <w14:solidFill>
              <w14:schemeClr w14:val="tx1"/>
            </w14:solidFill>
          </w14:textFill>
        </w:rPr>
      </w:pPr>
      <w:r>
        <w:rPr>
          <w:rFonts w:hint="eastAsia" w:ascii="Times New Roman" w:hAnsi="Times New Roman" w:eastAsia="宋体" w:cs="Times New Roman"/>
          <w:b w:val="0"/>
          <w:snapToGrid/>
          <w:color w:val="000000" w:themeColor="text1"/>
          <w:kern w:val="0"/>
          <w:sz w:val="24"/>
          <w:szCs w:val="21"/>
          <w:highlight w:val="none"/>
          <w:lang w:val="en-US" w:eastAsia="zh-CN" w:bidi="ar-SA"/>
          <w14:textFill>
            <w14:solidFill>
              <w14:schemeClr w14:val="tx1"/>
            </w14:solidFill>
          </w14:textFill>
        </w:rPr>
        <w:t xml:space="preserve">   生活垃圾袋装收集，由环卫部门统一处置。</w:t>
      </w:r>
    </w:p>
    <w:p w14:paraId="58783D48">
      <w:pPr>
        <w:pStyle w:val="5"/>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18" w:name="_Toc22873"/>
      <w:r>
        <w:rPr>
          <w:rFonts w:hint="default" w:ascii="Times New Roman" w:hAnsi="Times New Roman" w:eastAsia="宋体" w:cs="Times New Roman"/>
          <w:color w:val="000000" w:themeColor="text1"/>
          <w:highlight w:val="none"/>
          <w14:textFill>
            <w14:solidFill>
              <w14:schemeClr w14:val="tx1"/>
            </w14:solidFill>
          </w14:textFill>
        </w:rPr>
        <w:t>4.</w:t>
      </w:r>
      <w:r>
        <w:rPr>
          <w:rFonts w:hint="eastAsia" w:eastAsia="宋体" w:cs="Times New Roman"/>
          <w:color w:val="000000" w:themeColor="text1"/>
          <w:highlight w:val="none"/>
          <w:lang w:val="en-US" w:eastAsia="zh-CN"/>
          <w14:textFill>
            <w14:solidFill>
              <w14:schemeClr w14:val="tx1"/>
            </w14:solidFill>
          </w14:textFill>
        </w:rPr>
        <w:t>2</w:t>
      </w:r>
      <w:r>
        <w:rPr>
          <w:rFonts w:hint="default" w:ascii="Times New Roman" w:hAnsi="Times New Roman" w:eastAsia="宋体" w:cs="Times New Roman"/>
          <w:color w:val="000000" w:themeColor="text1"/>
          <w:highlight w:val="none"/>
          <w14:textFill>
            <w14:solidFill>
              <w14:schemeClr w14:val="tx1"/>
            </w14:solidFill>
          </w14:textFill>
        </w:rPr>
        <w:t>环保设施投资及“三同时”落实情况</w:t>
      </w:r>
      <w:bookmarkEnd w:id="18"/>
    </w:p>
    <w:p w14:paraId="439939FA">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default" w:ascii="Times New Roman" w:hAnsi="Times New Roman" w:eastAsia="宋体" w:cs="Times New Roman"/>
          <w:color w:val="auto"/>
          <w:highlight w:val="none"/>
        </w:rPr>
      </w:pPr>
      <w:r>
        <w:rPr>
          <w:rFonts w:hint="eastAsia" w:ascii="Times New Roman" w:hAnsi="Times New Roman"/>
          <w:color w:val="000000" w:themeColor="text1"/>
          <w:sz w:val="24"/>
          <w:szCs w:val="24"/>
          <w:highlight w:val="none"/>
          <w:lang w:eastAsia="zh-CN"/>
          <w14:textFill>
            <w14:solidFill>
              <w14:schemeClr w14:val="tx1"/>
            </w14:solidFill>
          </w14:textFill>
        </w:rPr>
        <w:t>唐山市康泰科技有限公司年产羊肉片机5000台新建项目</w:t>
      </w:r>
      <w:r>
        <w:rPr>
          <w:rFonts w:hint="default" w:ascii="Times New Roman" w:hAnsi="Times New Roman" w:eastAsia="宋体" w:cs="Times New Roman"/>
          <w:color w:val="auto"/>
          <w:highlight w:val="none"/>
        </w:rPr>
        <w:t>环保设施投资及</w:t>
      </w:r>
      <w:r>
        <w:rPr>
          <w:rFonts w:hint="eastAsia" w:ascii="Times New Roman" w:cs="Times New Roman"/>
          <w:color w:val="auto"/>
          <w:highlight w:val="none"/>
          <w:lang w:eastAsia="zh-CN"/>
        </w:rPr>
        <w:t>“</w:t>
      </w:r>
      <w:r>
        <w:rPr>
          <w:rFonts w:hint="default" w:ascii="Times New Roman" w:hAnsi="Times New Roman" w:eastAsia="宋体" w:cs="Times New Roman"/>
          <w:color w:val="auto"/>
          <w:highlight w:val="none"/>
        </w:rPr>
        <w:t>三同时</w:t>
      </w:r>
      <w:r>
        <w:rPr>
          <w:rFonts w:hint="eastAsia" w:ascii="Times New Roman" w:cs="Times New Roman"/>
          <w:color w:val="auto"/>
          <w:highlight w:val="none"/>
          <w:lang w:eastAsia="zh-CN"/>
        </w:rPr>
        <w:t>”</w:t>
      </w:r>
      <w:r>
        <w:rPr>
          <w:rFonts w:hint="default" w:ascii="Times New Roman" w:hAnsi="Times New Roman" w:eastAsia="宋体" w:cs="Times New Roman"/>
          <w:color w:val="auto"/>
          <w:highlight w:val="none"/>
        </w:rPr>
        <w:t>落实情况具体见表4-</w:t>
      </w:r>
      <w:r>
        <w:rPr>
          <w:rFonts w:hint="eastAsia" w:ascii="Times New Roman" w:cs="Times New Roman"/>
          <w:color w:val="auto"/>
          <w:highlight w:val="none"/>
          <w:lang w:val="en-US" w:eastAsia="zh-CN"/>
        </w:rPr>
        <w:t>1</w:t>
      </w:r>
      <w:r>
        <w:rPr>
          <w:rFonts w:hint="default" w:ascii="Times New Roman" w:hAnsi="Times New Roman" w:eastAsia="宋体" w:cs="Times New Roman"/>
          <w:color w:val="auto"/>
          <w:highlight w:val="none"/>
        </w:rPr>
        <w:t>。</w:t>
      </w:r>
    </w:p>
    <w:p w14:paraId="5C70AD3D">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jc w:val="center"/>
        <w:textAlignment w:val="auto"/>
        <w:rPr>
          <w:rFonts w:hint="default" w:ascii="Times New Roman" w:hAnsi="Times New Roman" w:eastAsia="宋体" w:cs="Times New Roman"/>
          <w:b/>
          <w:bCs/>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kern w:val="2"/>
          <w:sz w:val="24"/>
          <w:szCs w:val="24"/>
          <w:highlight w:val="none"/>
          <w:lang w:val="en-US" w:eastAsia="zh-CN" w:bidi="ar-SA"/>
          <w14:textFill>
            <w14:solidFill>
              <w14:schemeClr w14:val="tx1"/>
            </w14:solidFill>
          </w14:textFill>
        </w:rPr>
        <w:t>表4-</w:t>
      </w:r>
      <w:r>
        <w:rPr>
          <w:rFonts w:hint="eastAsia" w:ascii="Times New Roman" w:cs="Times New Roman"/>
          <w:b/>
          <w:bCs/>
          <w:color w:val="000000" w:themeColor="text1"/>
          <w:kern w:val="2"/>
          <w:sz w:val="24"/>
          <w:szCs w:val="24"/>
          <w:highlight w:val="none"/>
          <w:lang w:val="en-US" w:eastAsia="zh-CN" w:bidi="ar-SA"/>
          <w14:textFill>
            <w14:solidFill>
              <w14:schemeClr w14:val="tx1"/>
            </w14:solidFill>
          </w14:textFill>
        </w:rPr>
        <w:t>1</w:t>
      </w:r>
      <w:r>
        <w:rPr>
          <w:rFonts w:hint="default" w:ascii="Times New Roman" w:hAnsi="Times New Roman" w:cs="Times New Roman"/>
          <w:b/>
          <w:bCs/>
          <w:color w:val="000000" w:themeColor="text1"/>
          <w:kern w:val="2"/>
          <w:sz w:val="24"/>
          <w:szCs w:val="24"/>
          <w:highlight w:val="none"/>
          <w:lang w:val="en-US" w:eastAsia="zh-CN" w:bidi="ar-SA"/>
          <w14:textFill>
            <w14:solidFill>
              <w14:schemeClr w14:val="tx1"/>
            </w14:solidFill>
          </w14:textFill>
        </w:rPr>
        <w:t xml:space="preserve"> </w:t>
      </w:r>
      <w:r>
        <w:rPr>
          <w:rFonts w:hint="default" w:ascii="Times New Roman" w:hAnsi="Times New Roman" w:eastAsia="宋体" w:cs="Times New Roman"/>
          <w:b/>
          <w:bCs/>
          <w:color w:val="000000" w:themeColor="text1"/>
          <w:kern w:val="2"/>
          <w:sz w:val="24"/>
          <w:szCs w:val="24"/>
          <w:highlight w:val="none"/>
          <w:lang w:val="en-US" w:eastAsia="zh-CN" w:bidi="ar-SA"/>
          <w14:textFill>
            <w14:solidFill>
              <w14:schemeClr w14:val="tx1"/>
            </w14:solidFill>
          </w14:textFill>
        </w:rPr>
        <w:t>环境设施投资及“三同时”落实情况</w:t>
      </w:r>
    </w:p>
    <w:tbl>
      <w:tblPr>
        <w:tblStyle w:val="32"/>
        <w:tblW w:w="52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364"/>
        <w:gridCol w:w="814"/>
        <w:gridCol w:w="583"/>
        <w:gridCol w:w="1161"/>
        <w:gridCol w:w="1144"/>
        <w:gridCol w:w="1235"/>
        <w:gridCol w:w="2100"/>
        <w:gridCol w:w="1411"/>
      </w:tblGrid>
      <w:tr w14:paraId="65DD7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Align w:val="center"/>
          </w:tcPr>
          <w:p w14:paraId="3100D8BA">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项目</w:t>
            </w:r>
          </w:p>
        </w:tc>
        <w:tc>
          <w:tcPr>
            <w:tcW w:w="792" w:type="pct"/>
            <w:gridSpan w:val="2"/>
            <w:vAlign w:val="center"/>
          </w:tcPr>
          <w:p w14:paraId="278BC3C3">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污染源</w:t>
            </w:r>
          </w:p>
        </w:tc>
        <w:tc>
          <w:tcPr>
            <w:tcW w:w="1307" w:type="pct"/>
            <w:gridSpan w:val="2"/>
            <w:vAlign w:val="center"/>
          </w:tcPr>
          <w:p w14:paraId="57101D2E">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环保措施</w:t>
            </w:r>
          </w:p>
        </w:tc>
        <w:tc>
          <w:tcPr>
            <w:tcW w:w="700" w:type="pct"/>
            <w:vAlign w:val="center"/>
          </w:tcPr>
          <w:p w14:paraId="39559E80">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验收指标</w:t>
            </w:r>
          </w:p>
        </w:tc>
        <w:tc>
          <w:tcPr>
            <w:tcW w:w="1191" w:type="pct"/>
            <w:vAlign w:val="center"/>
          </w:tcPr>
          <w:p w14:paraId="55DC0AA7">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验收标准</w:t>
            </w:r>
          </w:p>
        </w:tc>
        <w:tc>
          <w:tcPr>
            <w:tcW w:w="800" w:type="pct"/>
            <w:vAlign w:val="center"/>
          </w:tcPr>
          <w:p w14:paraId="45519453">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一致性</w:t>
            </w:r>
          </w:p>
        </w:tc>
      </w:tr>
      <w:tr w14:paraId="1DE1F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restart"/>
            <w:vAlign w:val="center"/>
          </w:tcPr>
          <w:p w14:paraId="1399F884">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废气</w:t>
            </w:r>
          </w:p>
        </w:tc>
        <w:tc>
          <w:tcPr>
            <w:tcW w:w="461" w:type="pct"/>
            <w:vAlign w:val="center"/>
          </w:tcPr>
          <w:p w14:paraId="52BC59A0">
            <w:pPr>
              <w:keepNext w:val="0"/>
              <w:keepLines w:val="0"/>
              <w:pageBreakBefore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抛光机</w:t>
            </w:r>
          </w:p>
        </w:tc>
        <w:tc>
          <w:tcPr>
            <w:tcW w:w="330" w:type="pct"/>
            <w:vAlign w:val="center"/>
          </w:tcPr>
          <w:p w14:paraId="395E4251">
            <w:pPr>
              <w:keepNext w:val="0"/>
              <w:keepLines w:val="0"/>
              <w:pageBreakBefore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颗粒物</w:t>
            </w:r>
          </w:p>
        </w:tc>
        <w:tc>
          <w:tcPr>
            <w:tcW w:w="1307" w:type="pct"/>
            <w:gridSpan w:val="2"/>
            <w:vAlign w:val="center"/>
          </w:tcPr>
          <w:p w14:paraId="4F63A4CB">
            <w:pPr>
              <w:keepNext w:val="0"/>
              <w:keepLines w:val="0"/>
              <w:pageBreakBefore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集气罩+</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脉冲布袋除尘器</w:t>
            </w:r>
            <w:r>
              <w:rPr>
                <w:rFonts w:hint="default" w:ascii="Times New Roman" w:hAnsi="Times New Roman" w:eastAsia="宋体" w:cs="Times New Roman"/>
                <w:color w:val="000000" w:themeColor="text1"/>
                <w:sz w:val="21"/>
                <w:szCs w:val="21"/>
                <w:highlight w:val="none"/>
                <w14:textFill>
                  <w14:solidFill>
                    <w14:schemeClr w14:val="tx1"/>
                  </w14:solidFill>
                </w14:textFill>
              </w:rPr>
              <w:t>+15m高排气筒</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P1</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风机风量25000m</w:t>
            </w:r>
            <w:r>
              <w:rPr>
                <w:rFonts w:hint="default" w:ascii="Times New Roman" w:hAnsi="Times New Roman" w:eastAsia="宋体" w:cs="Times New Roman"/>
                <w:color w:val="000000" w:themeColor="text1"/>
                <w:sz w:val="21"/>
                <w:szCs w:val="21"/>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/h</w:t>
            </w:r>
          </w:p>
        </w:tc>
        <w:tc>
          <w:tcPr>
            <w:tcW w:w="700" w:type="pct"/>
            <w:vAlign w:val="center"/>
          </w:tcPr>
          <w:p w14:paraId="50EC4054">
            <w:pPr>
              <w:keepNext w:val="0"/>
              <w:keepLines w:val="0"/>
              <w:pageBreakBefore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pacing w:val="-10"/>
                <w:kern w:val="0"/>
                <w:sz w:val="21"/>
                <w:szCs w:val="21"/>
                <w:highlight w:val="none"/>
                <w:vertAlign w:val="superscript"/>
                <w14:textFill>
                  <w14:solidFill>
                    <w14:schemeClr w14:val="tx1"/>
                  </w14:solidFill>
                </w14:textFill>
              </w:rPr>
            </w:pPr>
            <w:r>
              <w:rPr>
                <w:rFonts w:hint="default" w:ascii="Times New Roman" w:hAnsi="Times New Roman" w:eastAsia="宋体" w:cs="Times New Roman"/>
                <w:color w:val="000000" w:themeColor="text1"/>
                <w:spacing w:val="-10"/>
                <w:kern w:val="0"/>
                <w:sz w:val="21"/>
                <w:szCs w:val="21"/>
                <w:highlight w:val="none"/>
                <w14:textFill>
                  <w14:solidFill>
                    <w14:schemeClr w14:val="tx1"/>
                  </w14:solidFill>
                </w14:textFill>
              </w:rPr>
              <w:t>排放浓度&lt;</w:t>
            </w:r>
            <w:r>
              <w:rPr>
                <w:rFonts w:hint="default" w:ascii="Times New Roman" w:hAnsi="Times New Roman" w:eastAsia="宋体" w:cs="Times New Roman"/>
                <w:color w:val="000000" w:themeColor="text1"/>
                <w:spacing w:val="-10"/>
                <w:kern w:val="0"/>
                <w:sz w:val="21"/>
                <w:szCs w:val="21"/>
                <w:highlight w:val="none"/>
                <w:lang w:val="en-US" w:eastAsia="zh-CN"/>
                <w14:textFill>
                  <w14:solidFill>
                    <w14:schemeClr w14:val="tx1"/>
                  </w14:solidFill>
                </w14:textFill>
              </w:rPr>
              <w:t>10</w:t>
            </w:r>
            <w:r>
              <w:rPr>
                <w:rFonts w:hint="default" w:ascii="Times New Roman" w:hAnsi="Times New Roman" w:eastAsia="宋体" w:cs="Times New Roman"/>
                <w:color w:val="000000" w:themeColor="text1"/>
                <w:spacing w:val="-10"/>
                <w:kern w:val="0"/>
                <w:sz w:val="21"/>
                <w:szCs w:val="21"/>
                <w:highlight w:val="none"/>
                <w14:textFill>
                  <w14:solidFill>
                    <w14:schemeClr w14:val="tx1"/>
                  </w14:solidFill>
                </w14:textFill>
              </w:rPr>
              <w:t>mg/m</w:t>
            </w:r>
            <w:r>
              <w:rPr>
                <w:rFonts w:hint="default" w:ascii="Times New Roman" w:hAnsi="Times New Roman" w:eastAsia="宋体" w:cs="Times New Roman"/>
                <w:color w:val="000000" w:themeColor="text1"/>
                <w:spacing w:val="-10"/>
                <w:kern w:val="0"/>
                <w:sz w:val="21"/>
                <w:szCs w:val="21"/>
                <w:highlight w:val="none"/>
                <w:vertAlign w:val="superscript"/>
                <w14:textFill>
                  <w14:solidFill>
                    <w14:schemeClr w14:val="tx1"/>
                  </w14:solidFill>
                </w14:textFill>
              </w:rPr>
              <w:t>3</w:t>
            </w:r>
          </w:p>
        </w:tc>
        <w:tc>
          <w:tcPr>
            <w:tcW w:w="1191" w:type="pct"/>
            <w:vAlign w:val="center"/>
          </w:tcPr>
          <w:p w14:paraId="186BB3DF">
            <w:pPr>
              <w:keepNext w:val="0"/>
              <w:keepLines w:val="0"/>
              <w:pageBreakBefore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《钢铁工业大气污染物超低排放标准》（DB13/2169-2018）</w:t>
            </w:r>
          </w:p>
        </w:tc>
        <w:tc>
          <w:tcPr>
            <w:tcW w:w="800" w:type="pct"/>
            <w:vAlign w:val="center"/>
          </w:tcPr>
          <w:p w14:paraId="1E2F6A77">
            <w:pPr>
              <w:keepNext w:val="0"/>
              <w:keepLines w:val="0"/>
              <w:pageBreakBefore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一致</w:t>
            </w:r>
          </w:p>
        </w:tc>
      </w:tr>
      <w:tr w14:paraId="25C84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1E226349">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461" w:type="pct"/>
            <w:vAlign w:val="center"/>
          </w:tcPr>
          <w:p w14:paraId="5C5872EE">
            <w:pPr>
              <w:keepNext w:val="0"/>
              <w:keepLines w:val="0"/>
              <w:pageBreakBefore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阳极氧化槽</w:t>
            </w:r>
          </w:p>
        </w:tc>
        <w:tc>
          <w:tcPr>
            <w:tcW w:w="330" w:type="pct"/>
            <w:vAlign w:val="center"/>
          </w:tcPr>
          <w:p w14:paraId="43B7744F">
            <w:pPr>
              <w:keepNext w:val="0"/>
              <w:keepLines w:val="0"/>
              <w:pageBreakBefore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硫酸雾</w:t>
            </w:r>
          </w:p>
        </w:tc>
        <w:tc>
          <w:tcPr>
            <w:tcW w:w="1307" w:type="pct"/>
            <w:gridSpan w:val="2"/>
            <w:vAlign w:val="center"/>
          </w:tcPr>
          <w:p w14:paraId="16C27287">
            <w:pPr>
              <w:keepNext w:val="0"/>
              <w:keepLines w:val="0"/>
              <w:pageBreakBefore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阳极氧化</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槽设置单独生产间，三面遮挡，一面设置软帘</w:t>
            </w:r>
            <w:r>
              <w:rPr>
                <w:rFonts w:hint="default" w:ascii="Times New Roman" w:hAnsi="Times New Roman" w:eastAsia="宋体" w:cs="Times New Roman"/>
                <w:color w:val="000000" w:themeColor="text1"/>
                <w:sz w:val="21"/>
                <w:szCs w:val="21"/>
                <w:highlight w:val="none"/>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顶部设置集气罩，废气收集后经</w:t>
            </w:r>
            <w:r>
              <w:rPr>
                <w:rFonts w:hint="default" w:ascii="Times New Roman" w:hAnsi="Times New Roman" w:eastAsia="宋体" w:cs="Times New Roman"/>
                <w:color w:val="000000" w:themeColor="text1"/>
                <w:sz w:val="21"/>
                <w:szCs w:val="21"/>
                <w:highlight w:val="none"/>
                <w14:textFill>
                  <w14:solidFill>
                    <w14:schemeClr w14:val="tx1"/>
                  </w14:solidFill>
                </w14:textFill>
              </w:rPr>
              <w:t>碱液喷淋塔处理，通过1根</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15</w:t>
            </w:r>
            <w:r>
              <w:rPr>
                <w:rFonts w:hint="default" w:ascii="Times New Roman" w:hAnsi="Times New Roman" w:eastAsia="宋体" w:cs="Times New Roman"/>
                <w:color w:val="000000" w:themeColor="text1"/>
                <w:sz w:val="21"/>
                <w:szCs w:val="21"/>
                <w:highlight w:val="none"/>
                <w14:textFill>
                  <w14:solidFill>
                    <w14:schemeClr w14:val="tx1"/>
                  </w14:solidFill>
                </w14:textFill>
              </w:rPr>
              <w:t>m高的排气筒排放</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P2</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风机风量1010m</w:t>
            </w:r>
            <w:r>
              <w:rPr>
                <w:rFonts w:hint="default" w:ascii="Times New Roman" w:hAnsi="Times New Roman" w:eastAsia="宋体" w:cs="Times New Roman"/>
                <w:color w:val="000000" w:themeColor="text1"/>
                <w:sz w:val="21"/>
                <w:szCs w:val="21"/>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/h</w:t>
            </w:r>
          </w:p>
        </w:tc>
        <w:tc>
          <w:tcPr>
            <w:tcW w:w="700" w:type="pct"/>
            <w:vAlign w:val="center"/>
          </w:tcPr>
          <w:p w14:paraId="31CB5749">
            <w:pPr>
              <w:keepNext w:val="0"/>
              <w:keepLines w:val="0"/>
              <w:pageBreakBefore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auto"/>
                <w:spacing w:val="-10"/>
                <w:kern w:val="0"/>
                <w:sz w:val="21"/>
                <w:szCs w:val="21"/>
                <w:highlight w:val="none"/>
                <w:vertAlign w:val="superscript"/>
              </w:rPr>
            </w:pPr>
            <w:r>
              <w:rPr>
                <w:rFonts w:hint="default" w:ascii="Times New Roman" w:hAnsi="Times New Roman" w:eastAsia="宋体" w:cs="Times New Roman"/>
                <w:color w:val="auto"/>
                <w:spacing w:val="-10"/>
                <w:kern w:val="0"/>
                <w:sz w:val="21"/>
                <w:szCs w:val="21"/>
                <w:highlight w:val="none"/>
              </w:rPr>
              <w:t>排放浓度</w:t>
            </w:r>
            <w:r>
              <w:rPr>
                <w:rFonts w:hint="default" w:ascii="Times New Roman" w:hAnsi="Times New Roman" w:eastAsia="宋体" w:cs="Times New Roman"/>
                <w:color w:val="auto"/>
                <w:spacing w:val="-10"/>
                <w:kern w:val="0"/>
                <w:sz w:val="21"/>
                <w:szCs w:val="21"/>
                <w:highlight w:val="none"/>
                <w:lang w:val="en-US" w:eastAsia="zh-CN"/>
              </w:rPr>
              <w:t>≤10</w:t>
            </w:r>
            <w:r>
              <w:rPr>
                <w:rFonts w:hint="default" w:ascii="Times New Roman" w:hAnsi="Times New Roman" w:eastAsia="宋体" w:cs="Times New Roman"/>
                <w:color w:val="auto"/>
                <w:spacing w:val="-10"/>
                <w:kern w:val="0"/>
                <w:sz w:val="21"/>
                <w:szCs w:val="21"/>
                <w:highlight w:val="none"/>
              </w:rPr>
              <w:t>mg/m</w:t>
            </w:r>
            <w:r>
              <w:rPr>
                <w:rFonts w:hint="default" w:ascii="Times New Roman" w:hAnsi="Times New Roman" w:eastAsia="宋体" w:cs="Times New Roman"/>
                <w:color w:val="auto"/>
                <w:spacing w:val="-10"/>
                <w:kern w:val="0"/>
                <w:sz w:val="21"/>
                <w:szCs w:val="21"/>
                <w:highlight w:val="none"/>
                <w:vertAlign w:val="superscript"/>
              </w:rPr>
              <w:t>3</w:t>
            </w:r>
          </w:p>
        </w:tc>
        <w:tc>
          <w:tcPr>
            <w:tcW w:w="1191" w:type="pct"/>
            <w:vAlign w:val="center"/>
          </w:tcPr>
          <w:p w14:paraId="324C0246">
            <w:pPr>
              <w:keepNext w:val="0"/>
              <w:keepLines w:val="0"/>
              <w:pageBreakBefore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sz w:val="21"/>
                <w:szCs w:val="21"/>
                <w:highlight w:val="none"/>
                <w:lang w:val="en-US" w:eastAsia="zh-CN"/>
              </w:rPr>
              <w:t>《河北省十一个行业重污染天气应急减排措施制定技术指南》中金属表面处理及热处理加工行业排放限值</w:t>
            </w:r>
          </w:p>
        </w:tc>
        <w:tc>
          <w:tcPr>
            <w:tcW w:w="800" w:type="pct"/>
            <w:vAlign w:val="center"/>
          </w:tcPr>
          <w:p w14:paraId="3D0C9DB6">
            <w:pPr>
              <w:keepNext w:val="0"/>
              <w:keepLines w:val="0"/>
              <w:pageBreakBefore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FF"/>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部分一致，实际集气罩采用侧面加软帘的方式收集废气，</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废气收集后经</w:t>
            </w:r>
            <w:r>
              <w:rPr>
                <w:rFonts w:hint="default" w:ascii="Times New Roman" w:hAnsi="Times New Roman" w:eastAsia="宋体" w:cs="Times New Roman"/>
                <w:color w:val="000000" w:themeColor="text1"/>
                <w:sz w:val="21"/>
                <w:szCs w:val="21"/>
                <w:highlight w:val="none"/>
                <w14:textFill>
                  <w14:solidFill>
                    <w14:schemeClr w14:val="tx1"/>
                  </w14:solidFill>
                </w14:textFill>
              </w:rPr>
              <w:t>碱液喷淋塔处理，通过1根</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15</w:t>
            </w:r>
            <w:r>
              <w:rPr>
                <w:rFonts w:hint="default" w:ascii="Times New Roman" w:hAnsi="Times New Roman" w:eastAsia="宋体" w:cs="Times New Roman"/>
                <w:color w:val="000000" w:themeColor="text1"/>
                <w:sz w:val="21"/>
                <w:szCs w:val="21"/>
                <w:highlight w:val="none"/>
                <w14:textFill>
                  <w14:solidFill>
                    <w14:schemeClr w14:val="tx1"/>
                  </w14:solidFill>
                </w14:textFill>
              </w:rPr>
              <w:t>m高的排气筒排放</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P2</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风机风量1010m</w:t>
            </w:r>
            <w:r>
              <w:rPr>
                <w:rFonts w:hint="default" w:ascii="Times New Roman" w:hAnsi="Times New Roman" w:eastAsia="宋体" w:cs="Times New Roman"/>
                <w:color w:val="000000" w:themeColor="text1"/>
                <w:sz w:val="21"/>
                <w:szCs w:val="21"/>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/h</w:t>
            </w:r>
          </w:p>
        </w:tc>
      </w:tr>
      <w:tr w14:paraId="34AE5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06460D47">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461" w:type="pct"/>
            <w:vMerge w:val="restart"/>
            <w:vAlign w:val="center"/>
          </w:tcPr>
          <w:p w14:paraId="0EF0DD67">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pacing w:val="-20"/>
                <w:sz w:val="21"/>
                <w:szCs w:val="21"/>
                <w:highlight w:val="none"/>
                <w14:textFill>
                  <w14:solidFill>
                    <w14:schemeClr w14:val="tx1"/>
                  </w14:solidFill>
                </w14:textFill>
              </w:rPr>
            </w:pPr>
            <w:r>
              <w:rPr>
                <w:rFonts w:hint="default" w:ascii="Times New Roman" w:hAnsi="Times New Roman" w:eastAsia="宋体" w:cs="Times New Roman"/>
                <w:color w:val="000000" w:themeColor="text1"/>
                <w:spacing w:val="-20"/>
                <w:sz w:val="21"/>
                <w:szCs w:val="21"/>
                <w:highlight w:val="none"/>
                <w14:textFill>
                  <w14:solidFill>
                    <w14:schemeClr w14:val="tx1"/>
                  </w14:solidFill>
                </w14:textFill>
              </w:rPr>
              <w:t>生产车间</w:t>
            </w:r>
          </w:p>
        </w:tc>
        <w:tc>
          <w:tcPr>
            <w:tcW w:w="330" w:type="pct"/>
            <w:vAlign w:val="center"/>
          </w:tcPr>
          <w:p w14:paraId="59DBFD36">
            <w:pPr>
              <w:keepNext w:val="0"/>
              <w:keepLines w:val="0"/>
              <w:pageBreakBefore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颗粒物</w:t>
            </w:r>
          </w:p>
        </w:tc>
        <w:tc>
          <w:tcPr>
            <w:tcW w:w="1307" w:type="pct"/>
            <w:gridSpan w:val="2"/>
            <w:vMerge w:val="restart"/>
            <w:vAlign w:val="center"/>
          </w:tcPr>
          <w:p w14:paraId="599351C5">
            <w:pPr>
              <w:keepNext w:val="0"/>
              <w:keepLines w:val="0"/>
              <w:pageBreakBefore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车间封闭，加强废气收集</w:t>
            </w:r>
          </w:p>
        </w:tc>
        <w:tc>
          <w:tcPr>
            <w:tcW w:w="700" w:type="pct"/>
            <w:vAlign w:val="center"/>
          </w:tcPr>
          <w:p w14:paraId="61FEE770">
            <w:pPr>
              <w:keepNext w:val="0"/>
              <w:keepLines w:val="0"/>
              <w:pageBreakBefore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pacing w:val="-10"/>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spacing w:val="-10"/>
                <w:kern w:val="0"/>
                <w:sz w:val="21"/>
                <w:szCs w:val="21"/>
                <w:highlight w:val="none"/>
                <w14:textFill>
                  <w14:solidFill>
                    <w14:schemeClr w14:val="tx1"/>
                  </w14:solidFill>
                </w14:textFill>
              </w:rPr>
              <w:t>企业边界浓度限值≤1.0mg/m</w:t>
            </w:r>
            <w:r>
              <w:rPr>
                <w:rFonts w:hint="default" w:ascii="Times New Roman" w:hAnsi="Times New Roman" w:eastAsia="宋体" w:cs="Times New Roman"/>
                <w:color w:val="000000" w:themeColor="text1"/>
                <w:spacing w:val="-10"/>
                <w:kern w:val="0"/>
                <w:sz w:val="21"/>
                <w:szCs w:val="21"/>
                <w:highlight w:val="none"/>
                <w:vertAlign w:val="superscript"/>
                <w14:textFill>
                  <w14:solidFill>
                    <w14:schemeClr w14:val="tx1"/>
                  </w14:solidFill>
                </w14:textFill>
              </w:rPr>
              <w:t>3</w:t>
            </w:r>
          </w:p>
        </w:tc>
        <w:tc>
          <w:tcPr>
            <w:tcW w:w="1191" w:type="pct"/>
            <w:vAlign w:val="center"/>
          </w:tcPr>
          <w:p w14:paraId="7D9353DA">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bCs/>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《钢铁工业大气污染物超低排放标准》（DB13/2169-2018）</w:t>
            </w:r>
          </w:p>
        </w:tc>
        <w:tc>
          <w:tcPr>
            <w:tcW w:w="800" w:type="pct"/>
            <w:vAlign w:val="center"/>
          </w:tcPr>
          <w:p w14:paraId="7999EDAC">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一致</w:t>
            </w:r>
          </w:p>
        </w:tc>
      </w:tr>
      <w:tr w14:paraId="2D84C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6CADF65B">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461" w:type="pct"/>
            <w:vMerge w:val="continue"/>
            <w:vAlign w:val="center"/>
          </w:tcPr>
          <w:p w14:paraId="6639F38C">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pacing w:val="-20"/>
                <w:sz w:val="21"/>
                <w:szCs w:val="21"/>
                <w:highlight w:val="none"/>
                <w14:textFill>
                  <w14:solidFill>
                    <w14:schemeClr w14:val="tx1"/>
                  </w14:solidFill>
                </w14:textFill>
              </w:rPr>
            </w:pPr>
          </w:p>
        </w:tc>
        <w:tc>
          <w:tcPr>
            <w:tcW w:w="330" w:type="pct"/>
            <w:vAlign w:val="center"/>
          </w:tcPr>
          <w:p w14:paraId="1989DF59">
            <w:pPr>
              <w:keepNext w:val="0"/>
              <w:keepLines w:val="0"/>
              <w:pageBreakBefore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硫酸雾</w:t>
            </w:r>
          </w:p>
        </w:tc>
        <w:tc>
          <w:tcPr>
            <w:tcW w:w="1307" w:type="pct"/>
            <w:gridSpan w:val="2"/>
            <w:vMerge w:val="continue"/>
            <w:vAlign w:val="center"/>
          </w:tcPr>
          <w:p w14:paraId="7DC2CD0E">
            <w:pPr>
              <w:keepNext w:val="0"/>
              <w:keepLines w:val="0"/>
              <w:pageBreakBefore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700" w:type="pct"/>
            <w:vAlign w:val="center"/>
          </w:tcPr>
          <w:p w14:paraId="48D2BC9B">
            <w:pPr>
              <w:keepNext w:val="0"/>
              <w:keepLines w:val="0"/>
              <w:pageBreakBefore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pacing w:val="-10"/>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spacing w:val="-10"/>
                <w:kern w:val="0"/>
                <w:sz w:val="21"/>
                <w:szCs w:val="21"/>
                <w:highlight w:val="none"/>
                <w14:textFill>
                  <w14:solidFill>
                    <w14:schemeClr w14:val="tx1"/>
                  </w14:solidFill>
                </w14:textFill>
              </w:rPr>
              <w:t>企业边界浓度限值≤</w:t>
            </w:r>
            <w:r>
              <w:rPr>
                <w:rFonts w:hint="default" w:ascii="Times New Roman" w:hAnsi="Times New Roman" w:eastAsia="宋体" w:cs="Times New Roman"/>
                <w:color w:val="000000" w:themeColor="text1"/>
                <w:spacing w:val="-10"/>
                <w:kern w:val="0"/>
                <w:sz w:val="21"/>
                <w:szCs w:val="21"/>
                <w:highlight w:val="none"/>
                <w:lang w:val="en-US" w:eastAsia="zh-CN"/>
                <w14:textFill>
                  <w14:solidFill>
                    <w14:schemeClr w14:val="tx1"/>
                  </w14:solidFill>
                </w14:textFill>
              </w:rPr>
              <w:t>1.2</w:t>
            </w:r>
            <w:r>
              <w:rPr>
                <w:rFonts w:hint="default" w:ascii="Times New Roman" w:hAnsi="Times New Roman" w:eastAsia="宋体" w:cs="Times New Roman"/>
                <w:color w:val="000000" w:themeColor="text1"/>
                <w:spacing w:val="-10"/>
                <w:kern w:val="0"/>
                <w:sz w:val="21"/>
                <w:szCs w:val="21"/>
                <w:highlight w:val="none"/>
                <w14:textFill>
                  <w14:solidFill>
                    <w14:schemeClr w14:val="tx1"/>
                  </w14:solidFill>
                </w14:textFill>
              </w:rPr>
              <w:t>mg/m</w:t>
            </w:r>
            <w:r>
              <w:rPr>
                <w:rFonts w:hint="default" w:ascii="Times New Roman" w:hAnsi="Times New Roman" w:eastAsia="宋体" w:cs="Times New Roman"/>
                <w:color w:val="000000" w:themeColor="text1"/>
                <w:spacing w:val="-10"/>
                <w:kern w:val="0"/>
                <w:sz w:val="21"/>
                <w:szCs w:val="21"/>
                <w:highlight w:val="none"/>
                <w:vertAlign w:val="superscript"/>
                <w14:textFill>
                  <w14:solidFill>
                    <w14:schemeClr w14:val="tx1"/>
                  </w14:solidFill>
                </w14:textFill>
              </w:rPr>
              <w:t>3</w:t>
            </w:r>
          </w:p>
        </w:tc>
        <w:tc>
          <w:tcPr>
            <w:tcW w:w="1191" w:type="pct"/>
            <w:vAlign w:val="center"/>
          </w:tcPr>
          <w:p w14:paraId="6CEF7CEA">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《大气污染物综合排放标准》（GB16297-1996）表2无组织排放浓度监控限值</w:t>
            </w:r>
          </w:p>
        </w:tc>
        <w:tc>
          <w:tcPr>
            <w:tcW w:w="800" w:type="pct"/>
            <w:vAlign w:val="center"/>
          </w:tcPr>
          <w:p w14:paraId="56A9CCE7">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一致</w:t>
            </w:r>
          </w:p>
        </w:tc>
      </w:tr>
      <w:tr w14:paraId="36069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restart"/>
            <w:vAlign w:val="center"/>
          </w:tcPr>
          <w:p w14:paraId="0F62A881">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废水</w:t>
            </w:r>
          </w:p>
        </w:tc>
        <w:tc>
          <w:tcPr>
            <w:tcW w:w="461" w:type="pct"/>
            <w:vMerge w:val="restart"/>
            <w:vAlign w:val="center"/>
          </w:tcPr>
          <w:p w14:paraId="5990A0D3">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生产废水</w:t>
            </w:r>
          </w:p>
        </w:tc>
        <w:tc>
          <w:tcPr>
            <w:tcW w:w="330" w:type="pct"/>
            <w:vAlign w:val="center"/>
          </w:tcPr>
          <w:p w14:paraId="283B3544">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pH</w:t>
            </w:r>
          </w:p>
        </w:tc>
        <w:tc>
          <w:tcPr>
            <w:tcW w:w="1307" w:type="pct"/>
            <w:gridSpan w:val="2"/>
            <w:vMerge w:val="restart"/>
            <w:vAlign w:val="center"/>
          </w:tcPr>
          <w:p w14:paraId="1B3315A4">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auto"/>
                <w:sz w:val="21"/>
                <w:szCs w:val="21"/>
                <w:highlight w:val="none"/>
                <w:lang w:eastAsia="zh-CN"/>
              </w:rPr>
              <w:t>项目喷淋塔排水、纯水制备尾水、废脱脂槽液、清洗废水、废阳极氧化槽液、废封闭槽液、阳极氧化车间保洁废水收集后进入自建污水处理设施处理；</w:t>
            </w:r>
            <w:r>
              <w:rPr>
                <w:rFonts w:hint="default" w:ascii="Times New Roman" w:hAnsi="Times New Roman" w:eastAsia="宋体" w:cs="Times New Roman"/>
                <w:color w:val="auto"/>
                <w:sz w:val="21"/>
                <w:szCs w:val="21"/>
                <w:highlight w:val="none"/>
              </w:rPr>
              <w:t>自建污水处理设施采用</w:t>
            </w:r>
            <w:r>
              <w:rPr>
                <w:rFonts w:hint="default" w:ascii="Times New Roman" w:hAnsi="Times New Roman" w:eastAsia="宋体" w:cs="Times New Roman"/>
                <w:color w:val="auto"/>
                <w:sz w:val="21"/>
                <w:szCs w:val="21"/>
                <w:highlight w:val="none"/>
                <w:lang w:eastAsia="zh-CN"/>
              </w:rPr>
              <w:t>“调节池酸碱调节+混凝沉淀+高效气浮+超滤+精密过滤+砂滤+超滤+反渗透”</w:t>
            </w:r>
            <w:r>
              <w:rPr>
                <w:rFonts w:hint="default" w:ascii="Times New Roman" w:hAnsi="Times New Roman" w:eastAsia="宋体" w:cs="Times New Roman"/>
                <w:color w:val="auto"/>
                <w:sz w:val="21"/>
                <w:szCs w:val="21"/>
                <w:highlight w:val="none"/>
              </w:rPr>
              <w:t>的处理工艺，处理能力为</w:t>
            </w:r>
            <w:r>
              <w:rPr>
                <w:rFonts w:hint="default"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h</w:t>
            </w:r>
            <w:r>
              <w:rPr>
                <w:rFonts w:hint="default" w:ascii="Times New Roman" w:hAnsi="Times New Roman" w:eastAsia="宋体" w:cs="Times New Roman"/>
                <w:color w:val="auto"/>
                <w:sz w:val="21"/>
                <w:szCs w:val="21"/>
                <w:highlight w:val="none"/>
                <w:lang w:eastAsia="zh-CN"/>
              </w:rPr>
              <w:t>，反渗透产生的浓水桶装收集后作为危废进行处理。处理后废水回用于</w:t>
            </w:r>
            <w:r>
              <w:rPr>
                <w:rFonts w:hint="default" w:ascii="Times New Roman" w:hAnsi="Times New Roman" w:eastAsia="宋体" w:cs="Times New Roman"/>
                <w:color w:val="auto"/>
                <w:sz w:val="21"/>
                <w:szCs w:val="21"/>
                <w:highlight w:val="none"/>
                <w:lang w:val="en-US" w:eastAsia="zh-CN"/>
              </w:rPr>
              <w:t>阳极氧化生产线</w:t>
            </w:r>
          </w:p>
        </w:tc>
        <w:tc>
          <w:tcPr>
            <w:tcW w:w="700" w:type="pct"/>
            <w:vAlign w:val="center"/>
          </w:tcPr>
          <w:p w14:paraId="7704BF37">
            <w:pPr>
              <w:keepNext w:val="0"/>
              <w:keepLines w:val="0"/>
              <w:pageBreakBefore w:val="0"/>
              <w:widowControl w:val="0"/>
              <w:kinsoku/>
              <w:wordWrap/>
              <w:overflowPunct/>
              <w:autoSpaceDE/>
              <w:autoSpaceDN/>
              <w:bidi w:val="0"/>
              <w:adjustRightInd w:val="0"/>
              <w:snapToGrid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6</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.5</w:t>
            </w:r>
            <w:r>
              <w:rPr>
                <w:rFonts w:hint="default" w:ascii="Times New Roman" w:hAnsi="Times New Roman" w:eastAsia="宋体" w:cs="Times New Roman"/>
                <w:color w:val="000000" w:themeColor="text1"/>
                <w:sz w:val="21"/>
                <w:szCs w:val="21"/>
                <w:highlight w:val="none"/>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8.5</w:t>
            </w:r>
          </w:p>
        </w:tc>
        <w:tc>
          <w:tcPr>
            <w:tcW w:w="1191" w:type="pct"/>
            <w:vMerge w:val="restart"/>
            <w:vAlign w:val="center"/>
          </w:tcPr>
          <w:p w14:paraId="1743BB13">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pacing w:val="-20"/>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《城市污水再生利用 工业用水水质》（GB/T19923-2005）表1中工艺与产品用水水质标准</w:t>
            </w:r>
          </w:p>
        </w:tc>
        <w:tc>
          <w:tcPr>
            <w:tcW w:w="800" w:type="pct"/>
            <w:vMerge w:val="restart"/>
            <w:vAlign w:val="center"/>
          </w:tcPr>
          <w:p w14:paraId="2E20D772">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一致</w:t>
            </w:r>
          </w:p>
        </w:tc>
      </w:tr>
      <w:tr w14:paraId="2AF78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7846A85C">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461" w:type="pct"/>
            <w:vMerge w:val="continue"/>
            <w:vAlign w:val="center"/>
          </w:tcPr>
          <w:p w14:paraId="2876D01C">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330" w:type="pct"/>
            <w:vAlign w:val="center"/>
          </w:tcPr>
          <w:p w14:paraId="1045C54A">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COD</w:t>
            </w:r>
          </w:p>
        </w:tc>
        <w:tc>
          <w:tcPr>
            <w:tcW w:w="1307" w:type="pct"/>
            <w:gridSpan w:val="2"/>
            <w:vMerge w:val="continue"/>
            <w:vAlign w:val="center"/>
          </w:tcPr>
          <w:p w14:paraId="5C338C4F">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700" w:type="pct"/>
            <w:vAlign w:val="center"/>
          </w:tcPr>
          <w:p w14:paraId="29D52788">
            <w:pPr>
              <w:keepNext w:val="0"/>
              <w:keepLines w:val="0"/>
              <w:pageBreakBefore w:val="0"/>
              <w:widowControl w:val="0"/>
              <w:kinsoku/>
              <w:wordWrap/>
              <w:overflowPunct/>
              <w:autoSpaceDE/>
              <w:autoSpaceDN/>
              <w:bidi w:val="0"/>
              <w:adjustRightInd w:val="0"/>
              <w:snapToGrid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60</w:t>
            </w:r>
            <w:r>
              <w:rPr>
                <w:rFonts w:hint="default" w:ascii="Times New Roman" w:hAnsi="Times New Roman" w:eastAsia="宋体" w:cs="Times New Roman"/>
                <w:color w:val="000000" w:themeColor="text1"/>
                <w:sz w:val="21"/>
                <w:szCs w:val="21"/>
                <w:highlight w:val="none"/>
                <w14:textFill>
                  <w14:solidFill>
                    <w14:schemeClr w14:val="tx1"/>
                  </w14:solidFill>
                </w14:textFill>
              </w:rPr>
              <w:t>mg/L</w:t>
            </w:r>
          </w:p>
        </w:tc>
        <w:tc>
          <w:tcPr>
            <w:tcW w:w="1191" w:type="pct"/>
            <w:vMerge w:val="continue"/>
            <w:vAlign w:val="center"/>
          </w:tcPr>
          <w:p w14:paraId="191A8C5A">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pacing w:val="-20"/>
                <w:kern w:val="0"/>
                <w:sz w:val="21"/>
                <w:szCs w:val="21"/>
                <w:highlight w:val="none"/>
                <w14:textFill>
                  <w14:solidFill>
                    <w14:schemeClr w14:val="tx1"/>
                  </w14:solidFill>
                </w14:textFill>
              </w:rPr>
            </w:pPr>
          </w:p>
        </w:tc>
        <w:tc>
          <w:tcPr>
            <w:tcW w:w="800" w:type="pct"/>
            <w:vMerge w:val="continue"/>
            <w:vAlign w:val="center"/>
          </w:tcPr>
          <w:p w14:paraId="3CC6B05F">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pacing w:val="-20"/>
                <w:kern w:val="0"/>
                <w:sz w:val="21"/>
                <w:szCs w:val="21"/>
                <w:highlight w:val="none"/>
                <w14:textFill>
                  <w14:solidFill>
                    <w14:schemeClr w14:val="tx1"/>
                  </w14:solidFill>
                </w14:textFill>
              </w:rPr>
            </w:pPr>
          </w:p>
        </w:tc>
      </w:tr>
      <w:tr w14:paraId="28C22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3058195F">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461" w:type="pct"/>
            <w:vMerge w:val="continue"/>
            <w:vAlign w:val="center"/>
          </w:tcPr>
          <w:p w14:paraId="2DE5CC4B">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330" w:type="pct"/>
            <w:vAlign w:val="center"/>
          </w:tcPr>
          <w:p w14:paraId="242EADC8">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BOD</w:t>
            </w:r>
            <w:r>
              <w:rPr>
                <w:rFonts w:hint="default" w:ascii="Times New Roman" w:hAnsi="Times New Roman" w:eastAsia="宋体" w:cs="Times New Roman"/>
                <w:color w:val="000000" w:themeColor="text1"/>
                <w:kern w:val="0"/>
                <w:sz w:val="21"/>
                <w:szCs w:val="21"/>
                <w:highlight w:val="none"/>
                <w:vertAlign w:val="subscript"/>
                <w14:textFill>
                  <w14:solidFill>
                    <w14:schemeClr w14:val="tx1"/>
                  </w14:solidFill>
                </w14:textFill>
              </w:rPr>
              <w:t>5</w:t>
            </w:r>
          </w:p>
        </w:tc>
        <w:tc>
          <w:tcPr>
            <w:tcW w:w="1307" w:type="pct"/>
            <w:gridSpan w:val="2"/>
            <w:vMerge w:val="continue"/>
            <w:vAlign w:val="center"/>
          </w:tcPr>
          <w:p w14:paraId="3C97EDB8">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700" w:type="pct"/>
            <w:vAlign w:val="center"/>
          </w:tcPr>
          <w:p w14:paraId="05A9ED5D">
            <w:pPr>
              <w:keepNext w:val="0"/>
              <w:keepLines w:val="0"/>
              <w:pageBreakBefore w:val="0"/>
              <w:widowControl w:val="0"/>
              <w:kinsoku/>
              <w:wordWrap/>
              <w:overflowPunct/>
              <w:autoSpaceDE/>
              <w:autoSpaceDN/>
              <w:bidi w:val="0"/>
              <w:adjustRightInd w:val="0"/>
              <w:snapToGrid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10</w:t>
            </w:r>
            <w:r>
              <w:rPr>
                <w:rFonts w:hint="default" w:ascii="Times New Roman" w:hAnsi="Times New Roman" w:eastAsia="宋体" w:cs="Times New Roman"/>
                <w:color w:val="000000" w:themeColor="text1"/>
                <w:sz w:val="21"/>
                <w:szCs w:val="21"/>
                <w:highlight w:val="none"/>
                <w14:textFill>
                  <w14:solidFill>
                    <w14:schemeClr w14:val="tx1"/>
                  </w14:solidFill>
                </w14:textFill>
              </w:rPr>
              <w:t>mg/L</w:t>
            </w:r>
          </w:p>
        </w:tc>
        <w:tc>
          <w:tcPr>
            <w:tcW w:w="1191" w:type="pct"/>
            <w:vMerge w:val="continue"/>
            <w:vAlign w:val="center"/>
          </w:tcPr>
          <w:p w14:paraId="116A4D1A">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pacing w:val="-20"/>
                <w:kern w:val="0"/>
                <w:sz w:val="21"/>
                <w:szCs w:val="21"/>
                <w:highlight w:val="none"/>
                <w14:textFill>
                  <w14:solidFill>
                    <w14:schemeClr w14:val="tx1"/>
                  </w14:solidFill>
                </w14:textFill>
              </w:rPr>
            </w:pPr>
          </w:p>
        </w:tc>
        <w:tc>
          <w:tcPr>
            <w:tcW w:w="800" w:type="pct"/>
            <w:vMerge w:val="continue"/>
            <w:vAlign w:val="center"/>
          </w:tcPr>
          <w:p w14:paraId="6B61D180">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pacing w:val="-20"/>
                <w:kern w:val="0"/>
                <w:sz w:val="21"/>
                <w:szCs w:val="21"/>
                <w:highlight w:val="none"/>
                <w14:textFill>
                  <w14:solidFill>
                    <w14:schemeClr w14:val="tx1"/>
                  </w14:solidFill>
                </w14:textFill>
              </w:rPr>
            </w:pPr>
          </w:p>
        </w:tc>
      </w:tr>
      <w:tr w14:paraId="069A8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222DEEE6">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461" w:type="pct"/>
            <w:vMerge w:val="continue"/>
            <w:vAlign w:val="center"/>
          </w:tcPr>
          <w:p w14:paraId="4D611428">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330" w:type="pct"/>
            <w:vAlign w:val="center"/>
          </w:tcPr>
          <w:p w14:paraId="1DE58B86">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SS</w:t>
            </w:r>
          </w:p>
        </w:tc>
        <w:tc>
          <w:tcPr>
            <w:tcW w:w="1307" w:type="pct"/>
            <w:gridSpan w:val="2"/>
            <w:vMerge w:val="continue"/>
            <w:vAlign w:val="center"/>
          </w:tcPr>
          <w:p w14:paraId="27453DDE">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700" w:type="pct"/>
            <w:vAlign w:val="center"/>
          </w:tcPr>
          <w:p w14:paraId="3B010C67">
            <w:pPr>
              <w:keepNext w:val="0"/>
              <w:keepLines w:val="0"/>
              <w:pageBreakBefore w:val="0"/>
              <w:widowControl w:val="0"/>
              <w:kinsoku/>
              <w:wordWrap/>
              <w:overflowPunct/>
              <w:autoSpaceDE/>
              <w:autoSpaceDN/>
              <w:bidi w:val="0"/>
              <w:adjustRightInd w:val="0"/>
              <w:snapToGrid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w:t>
            </w:r>
          </w:p>
        </w:tc>
        <w:tc>
          <w:tcPr>
            <w:tcW w:w="1191" w:type="pct"/>
            <w:vMerge w:val="continue"/>
            <w:vAlign w:val="center"/>
          </w:tcPr>
          <w:p w14:paraId="2ED397BF">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pacing w:val="-20"/>
                <w:kern w:val="0"/>
                <w:sz w:val="21"/>
                <w:szCs w:val="21"/>
                <w:highlight w:val="none"/>
                <w14:textFill>
                  <w14:solidFill>
                    <w14:schemeClr w14:val="tx1"/>
                  </w14:solidFill>
                </w14:textFill>
              </w:rPr>
            </w:pPr>
          </w:p>
        </w:tc>
        <w:tc>
          <w:tcPr>
            <w:tcW w:w="800" w:type="pct"/>
            <w:vMerge w:val="continue"/>
            <w:vAlign w:val="center"/>
          </w:tcPr>
          <w:p w14:paraId="37C40C5D">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pacing w:val="-20"/>
                <w:kern w:val="0"/>
                <w:sz w:val="21"/>
                <w:szCs w:val="21"/>
                <w:highlight w:val="none"/>
                <w14:textFill>
                  <w14:solidFill>
                    <w14:schemeClr w14:val="tx1"/>
                  </w14:solidFill>
                </w14:textFill>
              </w:rPr>
            </w:pPr>
          </w:p>
        </w:tc>
      </w:tr>
      <w:tr w14:paraId="45371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4421E065">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461" w:type="pct"/>
            <w:vMerge w:val="continue"/>
            <w:vAlign w:val="center"/>
          </w:tcPr>
          <w:p w14:paraId="6CDFBE4F">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330" w:type="pct"/>
            <w:vAlign w:val="center"/>
          </w:tcPr>
          <w:p w14:paraId="14EBC102">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氨氮</w:t>
            </w:r>
          </w:p>
        </w:tc>
        <w:tc>
          <w:tcPr>
            <w:tcW w:w="1307" w:type="pct"/>
            <w:gridSpan w:val="2"/>
            <w:vMerge w:val="continue"/>
            <w:vAlign w:val="center"/>
          </w:tcPr>
          <w:p w14:paraId="77C3A5D8">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700" w:type="pct"/>
            <w:vAlign w:val="center"/>
          </w:tcPr>
          <w:p w14:paraId="7508FBF4">
            <w:pPr>
              <w:keepNext w:val="0"/>
              <w:keepLines w:val="0"/>
              <w:pageBreakBefore w:val="0"/>
              <w:widowControl w:val="0"/>
              <w:kinsoku/>
              <w:wordWrap/>
              <w:overflowPunct/>
              <w:autoSpaceDE/>
              <w:autoSpaceDN/>
              <w:bidi w:val="0"/>
              <w:adjustRightInd w:val="0"/>
              <w:snapToGrid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10</w:t>
            </w:r>
            <w:r>
              <w:rPr>
                <w:rFonts w:hint="default" w:ascii="Times New Roman" w:hAnsi="Times New Roman" w:eastAsia="宋体" w:cs="Times New Roman"/>
                <w:color w:val="000000" w:themeColor="text1"/>
                <w:sz w:val="21"/>
                <w:szCs w:val="21"/>
                <w:highlight w:val="none"/>
                <w14:textFill>
                  <w14:solidFill>
                    <w14:schemeClr w14:val="tx1"/>
                  </w14:solidFill>
                </w14:textFill>
              </w:rPr>
              <w:t>mg/L</w:t>
            </w:r>
          </w:p>
        </w:tc>
        <w:tc>
          <w:tcPr>
            <w:tcW w:w="1191" w:type="pct"/>
            <w:vMerge w:val="continue"/>
            <w:vAlign w:val="center"/>
          </w:tcPr>
          <w:p w14:paraId="6B3ED1C6">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pacing w:val="-20"/>
                <w:kern w:val="0"/>
                <w:sz w:val="21"/>
                <w:szCs w:val="21"/>
                <w:highlight w:val="none"/>
                <w14:textFill>
                  <w14:solidFill>
                    <w14:schemeClr w14:val="tx1"/>
                  </w14:solidFill>
                </w14:textFill>
              </w:rPr>
            </w:pPr>
          </w:p>
        </w:tc>
        <w:tc>
          <w:tcPr>
            <w:tcW w:w="800" w:type="pct"/>
            <w:vMerge w:val="continue"/>
            <w:vAlign w:val="center"/>
          </w:tcPr>
          <w:p w14:paraId="784AA513">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pacing w:val="-20"/>
                <w:kern w:val="0"/>
                <w:sz w:val="21"/>
                <w:szCs w:val="21"/>
                <w:highlight w:val="none"/>
                <w14:textFill>
                  <w14:solidFill>
                    <w14:schemeClr w14:val="tx1"/>
                  </w14:solidFill>
                </w14:textFill>
              </w:rPr>
            </w:pPr>
          </w:p>
        </w:tc>
      </w:tr>
      <w:tr w14:paraId="1CFE7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4DD5D8CA">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461" w:type="pct"/>
            <w:vMerge w:val="continue"/>
            <w:vAlign w:val="center"/>
          </w:tcPr>
          <w:p w14:paraId="386B1FFB">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330" w:type="pct"/>
            <w:vAlign w:val="center"/>
          </w:tcPr>
          <w:p w14:paraId="1006FA0A">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石油类</w:t>
            </w:r>
          </w:p>
        </w:tc>
        <w:tc>
          <w:tcPr>
            <w:tcW w:w="1307" w:type="pct"/>
            <w:gridSpan w:val="2"/>
            <w:vMerge w:val="continue"/>
            <w:vAlign w:val="center"/>
          </w:tcPr>
          <w:p w14:paraId="1896CC37">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700" w:type="pct"/>
            <w:vAlign w:val="center"/>
          </w:tcPr>
          <w:p w14:paraId="2BF0ED63">
            <w:pPr>
              <w:keepNext w:val="0"/>
              <w:keepLines w:val="0"/>
              <w:pageBreakBefore w:val="0"/>
              <w:widowControl w:val="0"/>
              <w:kinsoku/>
              <w:wordWrap/>
              <w:overflowPunct/>
              <w:autoSpaceDE/>
              <w:autoSpaceDN/>
              <w:bidi w:val="0"/>
              <w:adjustRightInd w:val="0"/>
              <w:snapToGrid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w:t>
            </w:r>
            <w:r>
              <w:rPr>
                <w:rFonts w:hint="default" w:ascii="Times New Roman" w:hAnsi="Times New Roman" w:eastAsia="宋体" w:cs="Times New Roman"/>
                <w:color w:val="000000" w:themeColor="text1"/>
                <w:sz w:val="21"/>
                <w:szCs w:val="21"/>
                <w:highlight w:val="none"/>
                <w14:textFill>
                  <w14:solidFill>
                    <w14:schemeClr w14:val="tx1"/>
                  </w14:solidFill>
                </w14:textFill>
              </w:rPr>
              <w:t>mg/L</w:t>
            </w:r>
          </w:p>
        </w:tc>
        <w:tc>
          <w:tcPr>
            <w:tcW w:w="1191" w:type="pct"/>
            <w:vMerge w:val="continue"/>
            <w:vAlign w:val="center"/>
          </w:tcPr>
          <w:p w14:paraId="1E723F62">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pacing w:val="-20"/>
                <w:kern w:val="0"/>
                <w:sz w:val="21"/>
                <w:szCs w:val="21"/>
                <w:highlight w:val="none"/>
                <w14:textFill>
                  <w14:solidFill>
                    <w14:schemeClr w14:val="tx1"/>
                  </w14:solidFill>
                </w14:textFill>
              </w:rPr>
            </w:pPr>
          </w:p>
        </w:tc>
        <w:tc>
          <w:tcPr>
            <w:tcW w:w="800" w:type="pct"/>
            <w:vMerge w:val="continue"/>
            <w:vAlign w:val="center"/>
          </w:tcPr>
          <w:p w14:paraId="07316C63">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pacing w:val="-20"/>
                <w:kern w:val="0"/>
                <w:sz w:val="21"/>
                <w:szCs w:val="21"/>
                <w:highlight w:val="none"/>
                <w14:textFill>
                  <w14:solidFill>
                    <w14:schemeClr w14:val="tx1"/>
                  </w14:solidFill>
                </w14:textFill>
              </w:rPr>
            </w:pPr>
          </w:p>
        </w:tc>
      </w:tr>
      <w:tr w14:paraId="37266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49076151">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461" w:type="pct"/>
            <w:vMerge w:val="continue"/>
            <w:vAlign w:val="center"/>
          </w:tcPr>
          <w:p w14:paraId="581AF0E7">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330" w:type="pct"/>
            <w:vAlign w:val="center"/>
          </w:tcPr>
          <w:p w14:paraId="1A1DF1C3">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LAS</w:t>
            </w:r>
          </w:p>
        </w:tc>
        <w:tc>
          <w:tcPr>
            <w:tcW w:w="1307" w:type="pct"/>
            <w:gridSpan w:val="2"/>
            <w:vMerge w:val="continue"/>
            <w:vAlign w:val="center"/>
          </w:tcPr>
          <w:p w14:paraId="7C1E60F0">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700" w:type="pct"/>
            <w:vAlign w:val="center"/>
          </w:tcPr>
          <w:p w14:paraId="2E6B9087">
            <w:pPr>
              <w:keepNext w:val="0"/>
              <w:keepLines w:val="0"/>
              <w:pageBreakBefore w:val="0"/>
              <w:widowControl w:val="0"/>
              <w:kinsoku/>
              <w:wordWrap/>
              <w:overflowPunct/>
              <w:autoSpaceDE/>
              <w:autoSpaceDN/>
              <w:bidi w:val="0"/>
              <w:adjustRightInd w:val="0"/>
              <w:snapToGrid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0.5</w:t>
            </w:r>
            <w:r>
              <w:rPr>
                <w:rFonts w:hint="default" w:ascii="Times New Roman" w:hAnsi="Times New Roman" w:eastAsia="宋体" w:cs="Times New Roman"/>
                <w:color w:val="000000" w:themeColor="text1"/>
                <w:sz w:val="21"/>
                <w:szCs w:val="21"/>
                <w:highlight w:val="none"/>
                <w14:textFill>
                  <w14:solidFill>
                    <w14:schemeClr w14:val="tx1"/>
                  </w14:solidFill>
                </w14:textFill>
              </w:rPr>
              <w:t>mg/L</w:t>
            </w:r>
          </w:p>
        </w:tc>
        <w:tc>
          <w:tcPr>
            <w:tcW w:w="1191" w:type="pct"/>
            <w:vMerge w:val="continue"/>
            <w:vAlign w:val="center"/>
          </w:tcPr>
          <w:p w14:paraId="1EA1F921">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pacing w:val="-20"/>
                <w:kern w:val="0"/>
                <w:sz w:val="21"/>
                <w:szCs w:val="21"/>
                <w:highlight w:val="none"/>
                <w14:textFill>
                  <w14:solidFill>
                    <w14:schemeClr w14:val="tx1"/>
                  </w14:solidFill>
                </w14:textFill>
              </w:rPr>
            </w:pPr>
          </w:p>
        </w:tc>
        <w:tc>
          <w:tcPr>
            <w:tcW w:w="800" w:type="pct"/>
            <w:vMerge w:val="continue"/>
            <w:vAlign w:val="center"/>
          </w:tcPr>
          <w:p w14:paraId="44E974F8">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pacing w:val="-20"/>
                <w:kern w:val="0"/>
                <w:sz w:val="21"/>
                <w:szCs w:val="21"/>
                <w:highlight w:val="none"/>
                <w14:textFill>
                  <w14:solidFill>
                    <w14:schemeClr w14:val="tx1"/>
                  </w14:solidFill>
                </w14:textFill>
              </w:rPr>
            </w:pPr>
          </w:p>
        </w:tc>
      </w:tr>
      <w:tr w14:paraId="60347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7" w:hRule="atLeast"/>
          <w:jc w:val="center"/>
        </w:trPr>
        <w:tc>
          <w:tcPr>
            <w:tcW w:w="206" w:type="pct"/>
            <w:vMerge w:val="continue"/>
            <w:vAlign w:val="center"/>
          </w:tcPr>
          <w:p w14:paraId="74F8416B">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461" w:type="pct"/>
            <w:vMerge w:val="continue"/>
            <w:vAlign w:val="center"/>
          </w:tcPr>
          <w:p w14:paraId="0581364A">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330" w:type="pct"/>
            <w:vAlign w:val="center"/>
          </w:tcPr>
          <w:p w14:paraId="11E1C524">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氟化物</w:t>
            </w:r>
          </w:p>
        </w:tc>
        <w:tc>
          <w:tcPr>
            <w:tcW w:w="1307" w:type="pct"/>
            <w:gridSpan w:val="2"/>
            <w:vMerge w:val="continue"/>
            <w:vAlign w:val="center"/>
          </w:tcPr>
          <w:p w14:paraId="7AE568A2">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700" w:type="pct"/>
            <w:vAlign w:val="center"/>
          </w:tcPr>
          <w:p w14:paraId="12223A18">
            <w:pPr>
              <w:keepNext w:val="0"/>
              <w:keepLines w:val="0"/>
              <w:pageBreakBefore w:val="0"/>
              <w:widowControl w:val="0"/>
              <w:kinsoku/>
              <w:wordWrap/>
              <w:overflowPunct/>
              <w:autoSpaceDE/>
              <w:autoSpaceDN/>
              <w:bidi w:val="0"/>
              <w:adjustRightInd w:val="0"/>
              <w:snapToGrid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w:t>
            </w:r>
          </w:p>
        </w:tc>
        <w:tc>
          <w:tcPr>
            <w:tcW w:w="1191" w:type="pct"/>
            <w:vMerge w:val="continue"/>
            <w:vAlign w:val="center"/>
          </w:tcPr>
          <w:p w14:paraId="16D6DCC2">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pacing w:val="-20"/>
                <w:kern w:val="0"/>
                <w:sz w:val="21"/>
                <w:szCs w:val="21"/>
                <w:highlight w:val="none"/>
                <w14:textFill>
                  <w14:solidFill>
                    <w14:schemeClr w14:val="tx1"/>
                  </w14:solidFill>
                </w14:textFill>
              </w:rPr>
            </w:pPr>
          </w:p>
        </w:tc>
        <w:tc>
          <w:tcPr>
            <w:tcW w:w="800" w:type="pct"/>
            <w:vMerge w:val="continue"/>
            <w:vAlign w:val="center"/>
          </w:tcPr>
          <w:p w14:paraId="57B08718">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pacing w:val="-20"/>
                <w:kern w:val="0"/>
                <w:sz w:val="21"/>
                <w:szCs w:val="21"/>
                <w:highlight w:val="none"/>
                <w14:textFill>
                  <w14:solidFill>
                    <w14:schemeClr w14:val="tx1"/>
                  </w14:solidFill>
                </w14:textFill>
              </w:rPr>
            </w:pPr>
          </w:p>
        </w:tc>
      </w:tr>
      <w:tr w14:paraId="623EA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0C0273CB">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461" w:type="pct"/>
            <w:vMerge w:val="continue"/>
            <w:vAlign w:val="center"/>
          </w:tcPr>
          <w:p w14:paraId="5BCAAB05">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330" w:type="pct"/>
            <w:vAlign w:val="center"/>
          </w:tcPr>
          <w:p w14:paraId="22289AA5">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硫酸盐</w:t>
            </w:r>
          </w:p>
        </w:tc>
        <w:tc>
          <w:tcPr>
            <w:tcW w:w="1307" w:type="pct"/>
            <w:gridSpan w:val="2"/>
            <w:vMerge w:val="continue"/>
            <w:vAlign w:val="center"/>
          </w:tcPr>
          <w:p w14:paraId="609E12B0">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700" w:type="pct"/>
            <w:vAlign w:val="center"/>
          </w:tcPr>
          <w:p w14:paraId="4D24E55B">
            <w:pPr>
              <w:keepNext w:val="0"/>
              <w:keepLines w:val="0"/>
              <w:pageBreakBefore w:val="0"/>
              <w:widowControl w:val="0"/>
              <w:kinsoku/>
              <w:wordWrap/>
              <w:overflowPunct/>
              <w:autoSpaceDE/>
              <w:autoSpaceDN/>
              <w:bidi w:val="0"/>
              <w:adjustRightInd w:val="0"/>
              <w:snapToGrid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w:t>
            </w:r>
          </w:p>
        </w:tc>
        <w:tc>
          <w:tcPr>
            <w:tcW w:w="1191" w:type="pct"/>
            <w:vMerge w:val="continue"/>
            <w:vAlign w:val="center"/>
          </w:tcPr>
          <w:p w14:paraId="3E4386D9">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pacing w:val="-20"/>
                <w:kern w:val="0"/>
                <w:sz w:val="21"/>
                <w:szCs w:val="21"/>
                <w:highlight w:val="none"/>
                <w14:textFill>
                  <w14:solidFill>
                    <w14:schemeClr w14:val="tx1"/>
                  </w14:solidFill>
                </w14:textFill>
              </w:rPr>
            </w:pPr>
          </w:p>
        </w:tc>
        <w:tc>
          <w:tcPr>
            <w:tcW w:w="800" w:type="pct"/>
            <w:vMerge w:val="continue"/>
            <w:vAlign w:val="center"/>
          </w:tcPr>
          <w:p w14:paraId="5F3A8A13">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pacing w:val="-20"/>
                <w:kern w:val="0"/>
                <w:sz w:val="21"/>
                <w:szCs w:val="21"/>
                <w:highlight w:val="none"/>
                <w14:textFill>
                  <w14:solidFill>
                    <w14:schemeClr w14:val="tx1"/>
                  </w14:solidFill>
                </w14:textFill>
              </w:rPr>
            </w:pPr>
          </w:p>
        </w:tc>
      </w:tr>
      <w:tr w14:paraId="63FC9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6" w:hRule="atLeast"/>
          <w:jc w:val="center"/>
        </w:trPr>
        <w:tc>
          <w:tcPr>
            <w:tcW w:w="206" w:type="pct"/>
            <w:vMerge w:val="continue"/>
            <w:vAlign w:val="center"/>
          </w:tcPr>
          <w:p w14:paraId="40CE29C0">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461" w:type="pct"/>
            <w:vMerge w:val="restart"/>
            <w:vAlign w:val="center"/>
          </w:tcPr>
          <w:p w14:paraId="47697F2A">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生活污水</w:t>
            </w:r>
          </w:p>
        </w:tc>
        <w:tc>
          <w:tcPr>
            <w:tcW w:w="330" w:type="pct"/>
            <w:vAlign w:val="center"/>
          </w:tcPr>
          <w:p w14:paraId="61C8CA13">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COD</w:t>
            </w:r>
          </w:p>
        </w:tc>
        <w:tc>
          <w:tcPr>
            <w:tcW w:w="1307" w:type="pct"/>
            <w:gridSpan w:val="2"/>
            <w:vMerge w:val="restart"/>
            <w:vAlign w:val="center"/>
          </w:tcPr>
          <w:p w14:paraId="5E6C2E78">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auto"/>
                <w:sz w:val="21"/>
                <w:szCs w:val="21"/>
                <w:highlight w:val="none"/>
                <w:lang w:val="en-US" w:eastAsia="zh-CN"/>
              </w:rPr>
              <w:t>项目不设宿舍、食堂、浴室</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员工</w:t>
            </w:r>
            <w:r>
              <w:rPr>
                <w:rFonts w:hint="default" w:ascii="Times New Roman" w:hAnsi="Times New Roman" w:eastAsia="宋体" w:cs="Times New Roman"/>
                <w:color w:val="auto"/>
                <w:sz w:val="21"/>
                <w:szCs w:val="21"/>
                <w:highlight w:val="none"/>
              </w:rPr>
              <w:t>生活污水经化粪池预处理，通</w:t>
            </w:r>
            <w:r>
              <w:rPr>
                <w:rFonts w:hint="default" w:ascii="Times New Roman" w:hAnsi="Times New Roman" w:eastAsia="宋体" w:cs="Times New Roman"/>
                <w:color w:val="000000" w:themeColor="text1"/>
                <w:sz w:val="21"/>
                <w:szCs w:val="21"/>
                <w:highlight w:val="none"/>
                <w14:textFill>
                  <w14:solidFill>
                    <w14:schemeClr w14:val="tx1"/>
                  </w14:solidFill>
                </w14:textFill>
              </w:rPr>
              <w:t>过市政管网进入鸦鸿桥镇污水处理厂处理</w:t>
            </w:r>
          </w:p>
        </w:tc>
        <w:tc>
          <w:tcPr>
            <w:tcW w:w="700" w:type="pct"/>
            <w:vAlign w:val="center"/>
          </w:tcPr>
          <w:p w14:paraId="7D578F53">
            <w:pPr>
              <w:keepNext w:val="0"/>
              <w:keepLines w:val="0"/>
              <w:pageBreakBefore w:val="0"/>
              <w:widowControl w:val="0"/>
              <w:kinsoku/>
              <w:wordWrap/>
              <w:overflowPunct/>
              <w:autoSpaceDE/>
              <w:autoSpaceDN/>
              <w:bidi w:val="0"/>
              <w:adjustRightInd w:val="0"/>
              <w:snapToGrid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380</w:t>
            </w:r>
            <w:r>
              <w:rPr>
                <w:rFonts w:hint="default" w:ascii="Times New Roman" w:hAnsi="Times New Roman" w:eastAsia="宋体" w:cs="Times New Roman"/>
                <w:color w:val="000000" w:themeColor="text1"/>
                <w:sz w:val="21"/>
                <w:szCs w:val="21"/>
                <w:highlight w:val="none"/>
                <w14:textFill>
                  <w14:solidFill>
                    <w14:schemeClr w14:val="tx1"/>
                  </w14:solidFill>
                </w14:textFill>
              </w:rPr>
              <w:t>mg/L</w:t>
            </w:r>
          </w:p>
        </w:tc>
        <w:tc>
          <w:tcPr>
            <w:tcW w:w="1191" w:type="pct"/>
            <w:vMerge w:val="restart"/>
            <w:vAlign w:val="center"/>
          </w:tcPr>
          <w:p w14:paraId="3F2BB71E">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pacing w:val="-20"/>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pacing w:val="0"/>
                <w:kern w:val="0"/>
                <w:sz w:val="21"/>
                <w:szCs w:val="21"/>
                <w:highlight w:val="none"/>
                <w:lang w:val="en-US" w:eastAsia="zh-CN"/>
                <w14:textFill>
                  <w14:solidFill>
                    <w14:schemeClr w14:val="tx1"/>
                  </w14:solidFill>
                </w14:textFill>
              </w:rPr>
              <w:t>《污水综合排放标准》（GB8978-1996）三级标准及鸦鸿桥镇污水处理厂接管标准</w:t>
            </w:r>
          </w:p>
        </w:tc>
        <w:tc>
          <w:tcPr>
            <w:tcW w:w="800" w:type="pct"/>
            <w:vMerge w:val="restart"/>
            <w:vAlign w:val="center"/>
          </w:tcPr>
          <w:p w14:paraId="404AAF15">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pacing w:val="-20"/>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pacing w:val="-20"/>
                <w:kern w:val="0"/>
                <w:sz w:val="21"/>
                <w:szCs w:val="21"/>
                <w:highlight w:val="none"/>
                <w:lang w:val="en-US" w:eastAsia="zh-CN"/>
                <w14:textFill>
                  <w14:solidFill>
                    <w14:schemeClr w14:val="tx1"/>
                  </w14:solidFill>
                </w14:textFill>
              </w:rPr>
              <w:t>一致</w:t>
            </w:r>
          </w:p>
        </w:tc>
      </w:tr>
      <w:tr w14:paraId="509F6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6" w:hRule="atLeast"/>
          <w:jc w:val="center"/>
        </w:trPr>
        <w:tc>
          <w:tcPr>
            <w:tcW w:w="206" w:type="pct"/>
            <w:vMerge w:val="continue"/>
            <w:vAlign w:val="center"/>
          </w:tcPr>
          <w:p w14:paraId="712F5EC8">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461" w:type="pct"/>
            <w:vMerge w:val="continue"/>
            <w:vAlign w:val="center"/>
          </w:tcPr>
          <w:p w14:paraId="2F98CBA8">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330" w:type="pct"/>
            <w:vAlign w:val="center"/>
          </w:tcPr>
          <w:p w14:paraId="3290B9EE">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BOD</w:t>
            </w:r>
            <w:r>
              <w:rPr>
                <w:rFonts w:hint="default" w:ascii="Times New Roman" w:hAnsi="Times New Roman" w:eastAsia="宋体" w:cs="Times New Roman"/>
                <w:color w:val="000000" w:themeColor="text1"/>
                <w:kern w:val="0"/>
                <w:sz w:val="21"/>
                <w:szCs w:val="21"/>
                <w:highlight w:val="none"/>
                <w:vertAlign w:val="subscript"/>
                <w14:textFill>
                  <w14:solidFill>
                    <w14:schemeClr w14:val="tx1"/>
                  </w14:solidFill>
                </w14:textFill>
              </w:rPr>
              <w:t>5</w:t>
            </w:r>
          </w:p>
        </w:tc>
        <w:tc>
          <w:tcPr>
            <w:tcW w:w="1307" w:type="pct"/>
            <w:gridSpan w:val="2"/>
            <w:vMerge w:val="continue"/>
            <w:vAlign w:val="center"/>
          </w:tcPr>
          <w:p w14:paraId="2F4F8C0C">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c>
          <w:tcPr>
            <w:tcW w:w="700" w:type="pct"/>
            <w:vAlign w:val="center"/>
          </w:tcPr>
          <w:p w14:paraId="26791D7C">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220</w:t>
            </w:r>
            <w:r>
              <w:rPr>
                <w:rFonts w:hint="default" w:ascii="Times New Roman" w:hAnsi="Times New Roman" w:eastAsia="宋体" w:cs="Times New Roman"/>
                <w:color w:val="000000" w:themeColor="text1"/>
                <w:sz w:val="21"/>
                <w:szCs w:val="21"/>
                <w:highlight w:val="none"/>
                <w14:textFill>
                  <w14:solidFill>
                    <w14:schemeClr w14:val="tx1"/>
                  </w14:solidFill>
                </w14:textFill>
              </w:rPr>
              <w:t>mg/L</w:t>
            </w:r>
          </w:p>
        </w:tc>
        <w:tc>
          <w:tcPr>
            <w:tcW w:w="1191" w:type="pct"/>
            <w:vMerge w:val="continue"/>
            <w:vAlign w:val="center"/>
          </w:tcPr>
          <w:p w14:paraId="1390FE31">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c>
          <w:tcPr>
            <w:tcW w:w="800" w:type="pct"/>
            <w:vMerge w:val="continue"/>
            <w:vAlign w:val="center"/>
          </w:tcPr>
          <w:p w14:paraId="501DA3CE">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r>
      <w:tr w14:paraId="036BA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6" w:hRule="atLeast"/>
          <w:jc w:val="center"/>
        </w:trPr>
        <w:tc>
          <w:tcPr>
            <w:tcW w:w="206" w:type="pct"/>
            <w:vMerge w:val="continue"/>
            <w:vAlign w:val="center"/>
          </w:tcPr>
          <w:p w14:paraId="191464B0">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c>
          <w:tcPr>
            <w:tcW w:w="461" w:type="pct"/>
            <w:vMerge w:val="continue"/>
            <w:vAlign w:val="center"/>
          </w:tcPr>
          <w:p w14:paraId="7F445619">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c>
          <w:tcPr>
            <w:tcW w:w="330" w:type="pct"/>
            <w:vAlign w:val="center"/>
          </w:tcPr>
          <w:p w14:paraId="2F0477C3">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SS</w:t>
            </w:r>
          </w:p>
        </w:tc>
        <w:tc>
          <w:tcPr>
            <w:tcW w:w="1307" w:type="pct"/>
            <w:gridSpan w:val="2"/>
            <w:vMerge w:val="continue"/>
            <w:vAlign w:val="center"/>
          </w:tcPr>
          <w:p w14:paraId="7B9ED366">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c>
          <w:tcPr>
            <w:tcW w:w="700" w:type="pct"/>
            <w:vAlign w:val="center"/>
          </w:tcPr>
          <w:p w14:paraId="42C8FBC4">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250</w:t>
            </w:r>
            <w:r>
              <w:rPr>
                <w:rFonts w:hint="default" w:ascii="Times New Roman" w:hAnsi="Times New Roman" w:eastAsia="宋体" w:cs="Times New Roman"/>
                <w:color w:val="000000" w:themeColor="text1"/>
                <w:sz w:val="21"/>
                <w:szCs w:val="21"/>
                <w:highlight w:val="none"/>
                <w14:textFill>
                  <w14:solidFill>
                    <w14:schemeClr w14:val="tx1"/>
                  </w14:solidFill>
                </w14:textFill>
              </w:rPr>
              <w:t>mg/L</w:t>
            </w:r>
          </w:p>
        </w:tc>
        <w:tc>
          <w:tcPr>
            <w:tcW w:w="1191" w:type="pct"/>
            <w:vMerge w:val="continue"/>
            <w:vAlign w:val="center"/>
          </w:tcPr>
          <w:p w14:paraId="02E4AD8D">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c>
          <w:tcPr>
            <w:tcW w:w="800" w:type="pct"/>
            <w:vMerge w:val="continue"/>
            <w:vAlign w:val="center"/>
          </w:tcPr>
          <w:p w14:paraId="06AF37E1">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r>
      <w:tr w14:paraId="358B9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6" w:hRule="atLeast"/>
          <w:jc w:val="center"/>
        </w:trPr>
        <w:tc>
          <w:tcPr>
            <w:tcW w:w="206" w:type="pct"/>
            <w:vMerge w:val="continue"/>
            <w:vAlign w:val="center"/>
          </w:tcPr>
          <w:p w14:paraId="16AFF0AA">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c>
          <w:tcPr>
            <w:tcW w:w="461" w:type="pct"/>
            <w:vMerge w:val="continue"/>
            <w:vAlign w:val="center"/>
          </w:tcPr>
          <w:p w14:paraId="1FAAA254">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c>
          <w:tcPr>
            <w:tcW w:w="330" w:type="pct"/>
            <w:vAlign w:val="center"/>
          </w:tcPr>
          <w:p w14:paraId="45594752">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氨氮</w:t>
            </w:r>
          </w:p>
        </w:tc>
        <w:tc>
          <w:tcPr>
            <w:tcW w:w="1307" w:type="pct"/>
            <w:gridSpan w:val="2"/>
            <w:vMerge w:val="continue"/>
            <w:vAlign w:val="center"/>
          </w:tcPr>
          <w:p w14:paraId="7DAAFADC">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c>
          <w:tcPr>
            <w:tcW w:w="700" w:type="pct"/>
            <w:vAlign w:val="center"/>
          </w:tcPr>
          <w:p w14:paraId="0B92690E">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40</w:t>
            </w:r>
            <w:r>
              <w:rPr>
                <w:rFonts w:hint="default" w:ascii="Times New Roman" w:hAnsi="Times New Roman" w:eastAsia="宋体" w:cs="Times New Roman"/>
                <w:color w:val="000000" w:themeColor="text1"/>
                <w:sz w:val="21"/>
                <w:szCs w:val="21"/>
                <w:highlight w:val="none"/>
                <w14:textFill>
                  <w14:solidFill>
                    <w14:schemeClr w14:val="tx1"/>
                  </w14:solidFill>
                </w14:textFill>
              </w:rPr>
              <w:t>mg/L</w:t>
            </w:r>
          </w:p>
        </w:tc>
        <w:tc>
          <w:tcPr>
            <w:tcW w:w="1191" w:type="pct"/>
            <w:vMerge w:val="continue"/>
            <w:vAlign w:val="center"/>
          </w:tcPr>
          <w:p w14:paraId="0102A1F0">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c>
          <w:tcPr>
            <w:tcW w:w="800" w:type="pct"/>
            <w:vMerge w:val="continue"/>
            <w:vAlign w:val="center"/>
          </w:tcPr>
          <w:p w14:paraId="1BC0DE84">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r>
      <w:tr w14:paraId="66C77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206" w:type="pct"/>
            <w:vMerge w:val="continue"/>
            <w:vAlign w:val="center"/>
          </w:tcPr>
          <w:p w14:paraId="2C147F26">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c>
          <w:tcPr>
            <w:tcW w:w="461" w:type="pct"/>
            <w:vMerge w:val="continue"/>
            <w:vAlign w:val="center"/>
          </w:tcPr>
          <w:p w14:paraId="0421675C">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c>
          <w:tcPr>
            <w:tcW w:w="330" w:type="pct"/>
            <w:vAlign w:val="center"/>
          </w:tcPr>
          <w:p w14:paraId="2C3431CC">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总磷</w:t>
            </w:r>
          </w:p>
        </w:tc>
        <w:tc>
          <w:tcPr>
            <w:tcW w:w="1307" w:type="pct"/>
            <w:gridSpan w:val="2"/>
            <w:vMerge w:val="continue"/>
            <w:vAlign w:val="center"/>
          </w:tcPr>
          <w:p w14:paraId="4E02D048">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c>
          <w:tcPr>
            <w:tcW w:w="700" w:type="pct"/>
            <w:vAlign w:val="center"/>
          </w:tcPr>
          <w:p w14:paraId="5B31DEA8">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4</w:t>
            </w:r>
            <w:r>
              <w:rPr>
                <w:rFonts w:hint="default" w:ascii="Times New Roman" w:hAnsi="Times New Roman" w:eastAsia="宋体" w:cs="Times New Roman"/>
                <w:color w:val="000000" w:themeColor="text1"/>
                <w:sz w:val="21"/>
                <w:szCs w:val="21"/>
                <w:highlight w:val="none"/>
                <w14:textFill>
                  <w14:solidFill>
                    <w14:schemeClr w14:val="tx1"/>
                  </w14:solidFill>
                </w14:textFill>
              </w:rPr>
              <w:t>mg/L</w:t>
            </w:r>
          </w:p>
        </w:tc>
        <w:tc>
          <w:tcPr>
            <w:tcW w:w="1191" w:type="pct"/>
            <w:vMerge w:val="continue"/>
            <w:vAlign w:val="center"/>
          </w:tcPr>
          <w:p w14:paraId="13A96478">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c>
          <w:tcPr>
            <w:tcW w:w="800" w:type="pct"/>
            <w:vMerge w:val="continue"/>
            <w:vAlign w:val="center"/>
          </w:tcPr>
          <w:p w14:paraId="0B128D20">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r>
      <w:tr w14:paraId="4DA05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6" w:hRule="atLeast"/>
          <w:jc w:val="center"/>
        </w:trPr>
        <w:tc>
          <w:tcPr>
            <w:tcW w:w="206" w:type="pct"/>
            <w:vMerge w:val="continue"/>
            <w:vAlign w:val="center"/>
          </w:tcPr>
          <w:p w14:paraId="3618B57E">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c>
          <w:tcPr>
            <w:tcW w:w="461" w:type="pct"/>
            <w:vMerge w:val="continue"/>
            <w:vAlign w:val="center"/>
          </w:tcPr>
          <w:p w14:paraId="45E31FCD">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c>
          <w:tcPr>
            <w:tcW w:w="330" w:type="pct"/>
            <w:vAlign w:val="center"/>
          </w:tcPr>
          <w:p w14:paraId="53FFC8DB">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总氮</w:t>
            </w:r>
          </w:p>
        </w:tc>
        <w:tc>
          <w:tcPr>
            <w:tcW w:w="1307" w:type="pct"/>
            <w:gridSpan w:val="2"/>
            <w:vMerge w:val="continue"/>
            <w:vAlign w:val="center"/>
          </w:tcPr>
          <w:p w14:paraId="48207CB0">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c>
          <w:tcPr>
            <w:tcW w:w="700" w:type="pct"/>
            <w:vAlign w:val="center"/>
          </w:tcPr>
          <w:p w14:paraId="70CC61BA">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40</w:t>
            </w:r>
            <w:r>
              <w:rPr>
                <w:rFonts w:hint="default" w:ascii="Times New Roman" w:hAnsi="Times New Roman" w:eastAsia="宋体" w:cs="Times New Roman"/>
                <w:color w:val="000000" w:themeColor="text1"/>
                <w:sz w:val="21"/>
                <w:szCs w:val="21"/>
                <w:highlight w:val="none"/>
                <w14:textFill>
                  <w14:solidFill>
                    <w14:schemeClr w14:val="tx1"/>
                  </w14:solidFill>
                </w14:textFill>
              </w:rPr>
              <w:t>mg/L</w:t>
            </w:r>
          </w:p>
        </w:tc>
        <w:tc>
          <w:tcPr>
            <w:tcW w:w="1191" w:type="pct"/>
            <w:vMerge w:val="continue"/>
            <w:vAlign w:val="center"/>
          </w:tcPr>
          <w:p w14:paraId="28086AE8">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c>
          <w:tcPr>
            <w:tcW w:w="800" w:type="pct"/>
            <w:vMerge w:val="continue"/>
            <w:vAlign w:val="center"/>
          </w:tcPr>
          <w:p w14:paraId="06A01FD9">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r>
      <w:tr w14:paraId="66390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restart"/>
            <w:vAlign w:val="center"/>
          </w:tcPr>
          <w:p w14:paraId="0FD257D4">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噪声</w:t>
            </w:r>
          </w:p>
        </w:tc>
        <w:tc>
          <w:tcPr>
            <w:tcW w:w="792" w:type="pct"/>
            <w:gridSpan w:val="2"/>
            <w:vAlign w:val="center"/>
          </w:tcPr>
          <w:p w14:paraId="474F78FB">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生产设备等</w:t>
            </w:r>
          </w:p>
        </w:tc>
        <w:tc>
          <w:tcPr>
            <w:tcW w:w="1307" w:type="pct"/>
            <w:gridSpan w:val="2"/>
            <w:vMerge w:val="restart"/>
            <w:vAlign w:val="center"/>
          </w:tcPr>
          <w:p w14:paraId="7BB89400">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各产噪设备在设计和选型时均选择低噪产品；生产设备置于生产车间内南侧，污水处理设施设置于砖混结构污水处理站中，提升泵均为潜水泵，搅拌机也位于池体内；生产设备加装基础减振垫</w:t>
            </w:r>
          </w:p>
        </w:tc>
        <w:tc>
          <w:tcPr>
            <w:tcW w:w="700" w:type="pct"/>
            <w:vAlign w:val="center"/>
          </w:tcPr>
          <w:p w14:paraId="5640AB8A">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昼间≤65dB</w:t>
            </w:r>
            <w:r>
              <w:rPr>
                <w:rFonts w:hint="default" w:ascii="Times New Roman" w:hAnsi="Times New Roman" w:eastAsia="宋体" w:cs="Times New Roman"/>
                <w:color w:val="000000" w:themeColor="text1"/>
                <w:kern w:val="0"/>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A</w:t>
            </w:r>
            <w:r>
              <w:rPr>
                <w:rFonts w:hint="default" w:ascii="Times New Roman" w:hAnsi="Times New Roman" w:eastAsia="宋体" w:cs="Times New Roman"/>
                <w:color w:val="000000" w:themeColor="text1"/>
                <w:kern w:val="0"/>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，夜间≤55dB</w:t>
            </w:r>
            <w:r>
              <w:rPr>
                <w:rFonts w:hint="default" w:ascii="Times New Roman" w:hAnsi="Times New Roman" w:eastAsia="宋体" w:cs="Times New Roman"/>
                <w:color w:val="000000" w:themeColor="text1"/>
                <w:kern w:val="0"/>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A</w:t>
            </w:r>
            <w:r>
              <w:rPr>
                <w:rFonts w:hint="default" w:ascii="Times New Roman" w:hAnsi="Times New Roman" w:eastAsia="宋体" w:cs="Times New Roman"/>
                <w:color w:val="000000" w:themeColor="text1"/>
                <w:kern w:val="0"/>
                <w:sz w:val="21"/>
                <w:szCs w:val="21"/>
                <w:highlight w:val="none"/>
                <w:lang w:eastAsia="zh-CN"/>
                <w14:textFill>
                  <w14:solidFill>
                    <w14:schemeClr w14:val="tx1"/>
                  </w14:solidFill>
                </w14:textFill>
              </w:rPr>
              <w:t>）</w:t>
            </w:r>
          </w:p>
        </w:tc>
        <w:tc>
          <w:tcPr>
            <w:tcW w:w="1191" w:type="pct"/>
            <w:vAlign w:val="center"/>
          </w:tcPr>
          <w:p w14:paraId="002E2169">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《工业企业厂界环境噪声排放标准》</w:t>
            </w:r>
            <w:r>
              <w:rPr>
                <w:rFonts w:hint="default" w:ascii="Times New Roman" w:hAnsi="Times New Roman" w:eastAsia="宋体" w:cs="Times New Roman"/>
                <w:color w:val="000000" w:themeColor="text1"/>
                <w:kern w:val="0"/>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GB12348-2008</w:t>
            </w:r>
            <w:r>
              <w:rPr>
                <w:rFonts w:hint="default" w:ascii="Times New Roman" w:hAnsi="Times New Roman" w:eastAsia="宋体" w:cs="Times New Roman"/>
                <w:color w:val="000000" w:themeColor="text1"/>
                <w:kern w:val="0"/>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3类标准</w:t>
            </w:r>
          </w:p>
        </w:tc>
        <w:tc>
          <w:tcPr>
            <w:tcW w:w="800" w:type="pct"/>
            <w:vAlign w:val="center"/>
          </w:tcPr>
          <w:p w14:paraId="1880A475">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spacing w:val="-20"/>
                <w:kern w:val="0"/>
                <w:sz w:val="21"/>
                <w:szCs w:val="21"/>
                <w:highlight w:val="none"/>
                <w:lang w:val="en-US" w:eastAsia="zh-CN"/>
                <w14:textFill>
                  <w14:solidFill>
                    <w14:schemeClr w14:val="tx1"/>
                  </w14:solidFill>
                </w14:textFill>
              </w:rPr>
              <w:t>一致</w:t>
            </w:r>
          </w:p>
        </w:tc>
      </w:tr>
      <w:tr w14:paraId="1CD45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3C0F2C42">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792" w:type="pct"/>
            <w:gridSpan w:val="2"/>
            <w:vAlign w:val="center"/>
          </w:tcPr>
          <w:p w14:paraId="1A4C1233">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敏感点</w:t>
            </w:r>
          </w:p>
        </w:tc>
        <w:tc>
          <w:tcPr>
            <w:tcW w:w="1307" w:type="pct"/>
            <w:gridSpan w:val="2"/>
            <w:vMerge w:val="continue"/>
            <w:vAlign w:val="center"/>
          </w:tcPr>
          <w:p w14:paraId="17FC8F72">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700" w:type="pct"/>
            <w:vAlign w:val="center"/>
          </w:tcPr>
          <w:p w14:paraId="73B0748B">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昼间≤6</w:t>
            </w: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0</w:t>
            </w: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dB</w:t>
            </w:r>
            <w:r>
              <w:rPr>
                <w:rFonts w:hint="default" w:ascii="Times New Roman" w:hAnsi="Times New Roman" w:eastAsia="宋体" w:cs="Times New Roman"/>
                <w:color w:val="000000" w:themeColor="text1"/>
                <w:kern w:val="0"/>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A</w:t>
            </w:r>
            <w:r>
              <w:rPr>
                <w:rFonts w:hint="default" w:ascii="Times New Roman" w:hAnsi="Times New Roman" w:eastAsia="宋体" w:cs="Times New Roman"/>
                <w:color w:val="000000" w:themeColor="text1"/>
                <w:kern w:val="0"/>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，夜间≤5</w:t>
            </w: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0</w:t>
            </w: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dB</w:t>
            </w:r>
            <w:r>
              <w:rPr>
                <w:rFonts w:hint="default" w:ascii="Times New Roman" w:hAnsi="Times New Roman" w:eastAsia="宋体" w:cs="Times New Roman"/>
                <w:color w:val="000000" w:themeColor="text1"/>
                <w:kern w:val="0"/>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A</w:t>
            </w:r>
            <w:r>
              <w:rPr>
                <w:rFonts w:hint="default" w:ascii="Times New Roman" w:hAnsi="Times New Roman" w:eastAsia="宋体" w:cs="Times New Roman"/>
                <w:color w:val="000000" w:themeColor="text1"/>
                <w:kern w:val="0"/>
                <w:sz w:val="21"/>
                <w:szCs w:val="21"/>
                <w:highlight w:val="none"/>
                <w:lang w:eastAsia="zh-CN"/>
                <w14:textFill>
                  <w14:solidFill>
                    <w14:schemeClr w14:val="tx1"/>
                  </w14:solidFill>
                </w14:textFill>
              </w:rPr>
              <w:t>）</w:t>
            </w:r>
          </w:p>
        </w:tc>
        <w:tc>
          <w:tcPr>
            <w:tcW w:w="1191" w:type="pct"/>
            <w:vAlign w:val="center"/>
          </w:tcPr>
          <w:p w14:paraId="2467733E">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《声环境质量标准》（GB3096-2008）2类</w:t>
            </w:r>
          </w:p>
        </w:tc>
        <w:tc>
          <w:tcPr>
            <w:tcW w:w="800" w:type="pct"/>
            <w:vAlign w:val="center"/>
          </w:tcPr>
          <w:p w14:paraId="5BCCCDFC">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spacing w:val="-20"/>
                <w:kern w:val="0"/>
                <w:sz w:val="21"/>
                <w:szCs w:val="21"/>
                <w:highlight w:val="none"/>
                <w:lang w:val="en-US" w:eastAsia="zh-CN"/>
                <w14:textFill>
                  <w14:solidFill>
                    <w14:schemeClr w14:val="tx1"/>
                  </w14:solidFill>
                </w14:textFill>
              </w:rPr>
              <w:t>一致</w:t>
            </w:r>
          </w:p>
        </w:tc>
      </w:tr>
      <w:tr w14:paraId="6A34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restart"/>
            <w:vAlign w:val="center"/>
          </w:tcPr>
          <w:p w14:paraId="13D88944">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固废</w:t>
            </w:r>
          </w:p>
        </w:tc>
        <w:tc>
          <w:tcPr>
            <w:tcW w:w="792" w:type="pct"/>
            <w:gridSpan w:val="2"/>
            <w:vAlign w:val="center"/>
          </w:tcPr>
          <w:p w14:paraId="5FB476A6">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切割废边角料</w:t>
            </w:r>
          </w:p>
        </w:tc>
        <w:tc>
          <w:tcPr>
            <w:tcW w:w="658" w:type="pct"/>
            <w:vAlign w:val="center"/>
          </w:tcPr>
          <w:p w14:paraId="0E733484">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袋装收集</w:t>
            </w:r>
          </w:p>
        </w:tc>
        <w:tc>
          <w:tcPr>
            <w:tcW w:w="649" w:type="pct"/>
            <w:vMerge w:val="restart"/>
            <w:vAlign w:val="center"/>
          </w:tcPr>
          <w:p w14:paraId="37D01D2F">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收集后外售</w:t>
            </w:r>
          </w:p>
        </w:tc>
        <w:tc>
          <w:tcPr>
            <w:tcW w:w="700" w:type="pct"/>
            <w:vMerge w:val="restart"/>
            <w:vAlign w:val="center"/>
          </w:tcPr>
          <w:p w14:paraId="1213BB8E">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合理处置</w:t>
            </w:r>
          </w:p>
        </w:tc>
        <w:tc>
          <w:tcPr>
            <w:tcW w:w="1191" w:type="pct"/>
            <w:vMerge w:val="restart"/>
            <w:vAlign w:val="center"/>
          </w:tcPr>
          <w:p w14:paraId="58A0C6AB">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合理处置，不外排至外环境</w:t>
            </w:r>
          </w:p>
        </w:tc>
        <w:tc>
          <w:tcPr>
            <w:tcW w:w="800" w:type="pct"/>
            <w:vMerge w:val="restart"/>
            <w:vAlign w:val="center"/>
          </w:tcPr>
          <w:p w14:paraId="7ABD6B75">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pacing w:val="-20"/>
                <w:kern w:val="0"/>
                <w:sz w:val="21"/>
                <w:szCs w:val="21"/>
                <w:highlight w:val="none"/>
                <w:lang w:val="en-US" w:eastAsia="zh-CN"/>
                <w14:textFill>
                  <w14:solidFill>
                    <w14:schemeClr w14:val="tx1"/>
                  </w14:solidFill>
                </w14:textFill>
              </w:rPr>
              <w:t>一致</w:t>
            </w:r>
          </w:p>
        </w:tc>
      </w:tr>
      <w:tr w14:paraId="16F53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2D2207A7">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792" w:type="pct"/>
            <w:gridSpan w:val="2"/>
            <w:vAlign w:val="center"/>
          </w:tcPr>
          <w:p w14:paraId="4B04E01C">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废金属屑</w:t>
            </w:r>
          </w:p>
        </w:tc>
        <w:tc>
          <w:tcPr>
            <w:tcW w:w="658" w:type="pct"/>
            <w:vAlign w:val="center"/>
          </w:tcPr>
          <w:p w14:paraId="6A98F4CD">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袋装收集</w:t>
            </w:r>
          </w:p>
        </w:tc>
        <w:tc>
          <w:tcPr>
            <w:tcW w:w="649" w:type="pct"/>
            <w:vMerge w:val="continue"/>
            <w:vAlign w:val="center"/>
          </w:tcPr>
          <w:p w14:paraId="51AC9E86">
            <w:pPr>
              <w:keepNext w:val="0"/>
              <w:keepLines w:val="0"/>
              <w:pageBreakBefore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700" w:type="pct"/>
            <w:vMerge w:val="continue"/>
            <w:vAlign w:val="center"/>
          </w:tcPr>
          <w:p w14:paraId="3676DBE1">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191" w:type="pct"/>
            <w:vMerge w:val="continue"/>
            <w:vAlign w:val="center"/>
          </w:tcPr>
          <w:p w14:paraId="4E288E19">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800" w:type="pct"/>
            <w:vMerge w:val="continue"/>
            <w:vAlign w:val="center"/>
          </w:tcPr>
          <w:p w14:paraId="0049300E">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r>
      <w:tr w14:paraId="49F22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4A3E29DE">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792" w:type="pct"/>
            <w:gridSpan w:val="2"/>
            <w:vAlign w:val="center"/>
          </w:tcPr>
          <w:p w14:paraId="7E192A33">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废抛光砂轮</w:t>
            </w:r>
          </w:p>
        </w:tc>
        <w:tc>
          <w:tcPr>
            <w:tcW w:w="658" w:type="pct"/>
            <w:vAlign w:val="center"/>
          </w:tcPr>
          <w:p w14:paraId="4A4183D2">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袋装收集</w:t>
            </w:r>
          </w:p>
        </w:tc>
        <w:tc>
          <w:tcPr>
            <w:tcW w:w="649" w:type="pct"/>
            <w:vMerge w:val="continue"/>
            <w:vAlign w:val="center"/>
          </w:tcPr>
          <w:p w14:paraId="7E3BFC90">
            <w:pPr>
              <w:keepNext w:val="0"/>
              <w:keepLines w:val="0"/>
              <w:pageBreakBefore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700" w:type="pct"/>
            <w:vMerge w:val="continue"/>
            <w:vAlign w:val="center"/>
          </w:tcPr>
          <w:p w14:paraId="103D65C0">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191" w:type="pct"/>
            <w:vMerge w:val="continue"/>
            <w:vAlign w:val="center"/>
          </w:tcPr>
          <w:p w14:paraId="18D6F6F5">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800" w:type="pct"/>
            <w:vMerge w:val="continue"/>
            <w:vAlign w:val="center"/>
          </w:tcPr>
          <w:p w14:paraId="2FC9F5FA">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r>
      <w:tr w14:paraId="36C50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41E95990">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792" w:type="pct"/>
            <w:gridSpan w:val="2"/>
            <w:vAlign w:val="center"/>
          </w:tcPr>
          <w:p w14:paraId="6B1A7BD2">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废原料包装</w:t>
            </w:r>
          </w:p>
        </w:tc>
        <w:tc>
          <w:tcPr>
            <w:tcW w:w="658" w:type="pct"/>
            <w:vAlign w:val="center"/>
          </w:tcPr>
          <w:p w14:paraId="0E74E4E4">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袋装收集</w:t>
            </w:r>
          </w:p>
        </w:tc>
        <w:tc>
          <w:tcPr>
            <w:tcW w:w="649" w:type="pct"/>
            <w:vMerge w:val="continue"/>
            <w:vAlign w:val="center"/>
          </w:tcPr>
          <w:p w14:paraId="259E4FE9">
            <w:pPr>
              <w:keepNext w:val="0"/>
              <w:keepLines w:val="0"/>
              <w:pageBreakBefore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700" w:type="pct"/>
            <w:vMerge w:val="continue"/>
            <w:vAlign w:val="center"/>
          </w:tcPr>
          <w:p w14:paraId="03FBE4CD">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191" w:type="pct"/>
            <w:vMerge w:val="continue"/>
            <w:vAlign w:val="center"/>
          </w:tcPr>
          <w:p w14:paraId="4C90EE63">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800" w:type="pct"/>
            <w:vMerge w:val="continue"/>
            <w:vAlign w:val="center"/>
          </w:tcPr>
          <w:p w14:paraId="02D3EF77">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r>
      <w:tr w14:paraId="12C66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1AFC3CF0">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792" w:type="pct"/>
            <w:gridSpan w:val="2"/>
            <w:vAlign w:val="center"/>
          </w:tcPr>
          <w:p w14:paraId="3366C34D">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除尘灰</w:t>
            </w:r>
          </w:p>
        </w:tc>
        <w:tc>
          <w:tcPr>
            <w:tcW w:w="658" w:type="pct"/>
            <w:vAlign w:val="center"/>
          </w:tcPr>
          <w:p w14:paraId="2FC4620F">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袋装收集</w:t>
            </w:r>
          </w:p>
        </w:tc>
        <w:tc>
          <w:tcPr>
            <w:tcW w:w="649" w:type="pct"/>
            <w:vMerge w:val="continue"/>
            <w:vAlign w:val="center"/>
          </w:tcPr>
          <w:p w14:paraId="085626F7">
            <w:pPr>
              <w:keepNext w:val="0"/>
              <w:keepLines w:val="0"/>
              <w:pageBreakBefore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700" w:type="pct"/>
            <w:vMerge w:val="continue"/>
            <w:vAlign w:val="center"/>
          </w:tcPr>
          <w:p w14:paraId="14A2D392">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191" w:type="pct"/>
            <w:vMerge w:val="continue"/>
            <w:vAlign w:val="center"/>
          </w:tcPr>
          <w:p w14:paraId="2118BA90">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800" w:type="pct"/>
            <w:vMerge w:val="continue"/>
            <w:vAlign w:val="center"/>
          </w:tcPr>
          <w:p w14:paraId="3D0CC6FE">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r>
      <w:tr w14:paraId="601B5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5AA3EA6A">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792" w:type="pct"/>
            <w:gridSpan w:val="2"/>
            <w:vAlign w:val="center"/>
          </w:tcPr>
          <w:p w14:paraId="00DF8CB2">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废布袋</w:t>
            </w:r>
          </w:p>
        </w:tc>
        <w:tc>
          <w:tcPr>
            <w:tcW w:w="658" w:type="pct"/>
            <w:vAlign w:val="center"/>
          </w:tcPr>
          <w:p w14:paraId="401BF7B7">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袋装收集</w:t>
            </w:r>
          </w:p>
        </w:tc>
        <w:tc>
          <w:tcPr>
            <w:tcW w:w="649" w:type="pct"/>
            <w:vMerge w:val="continue"/>
            <w:vAlign w:val="center"/>
          </w:tcPr>
          <w:p w14:paraId="7F28BDFC">
            <w:pPr>
              <w:keepNext w:val="0"/>
              <w:keepLines w:val="0"/>
              <w:pageBreakBefore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700" w:type="pct"/>
            <w:vMerge w:val="continue"/>
            <w:vAlign w:val="center"/>
          </w:tcPr>
          <w:p w14:paraId="350FA195">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191" w:type="pct"/>
            <w:vMerge w:val="continue"/>
            <w:vAlign w:val="center"/>
          </w:tcPr>
          <w:p w14:paraId="24910ADD">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800" w:type="pct"/>
            <w:vMerge w:val="continue"/>
            <w:vAlign w:val="center"/>
          </w:tcPr>
          <w:p w14:paraId="5B3BF3A4">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r>
      <w:tr w14:paraId="4F87C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66E4D3EA">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792" w:type="pct"/>
            <w:gridSpan w:val="2"/>
            <w:vAlign w:val="center"/>
          </w:tcPr>
          <w:p w14:paraId="1E4F315E">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不合格产品</w:t>
            </w:r>
          </w:p>
        </w:tc>
        <w:tc>
          <w:tcPr>
            <w:tcW w:w="658" w:type="pct"/>
            <w:vAlign w:val="center"/>
          </w:tcPr>
          <w:p w14:paraId="74E71E9E">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一般固废库堆放</w:t>
            </w:r>
          </w:p>
        </w:tc>
        <w:tc>
          <w:tcPr>
            <w:tcW w:w="649" w:type="pct"/>
            <w:vMerge w:val="continue"/>
            <w:vAlign w:val="center"/>
          </w:tcPr>
          <w:p w14:paraId="61E81B08">
            <w:pPr>
              <w:keepNext w:val="0"/>
              <w:keepLines w:val="0"/>
              <w:pageBreakBefore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700" w:type="pct"/>
            <w:vMerge w:val="continue"/>
            <w:vAlign w:val="center"/>
          </w:tcPr>
          <w:p w14:paraId="6CDA68EF">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191" w:type="pct"/>
            <w:vMerge w:val="continue"/>
            <w:vAlign w:val="center"/>
          </w:tcPr>
          <w:p w14:paraId="7035B32D">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800" w:type="pct"/>
            <w:vMerge w:val="continue"/>
            <w:vAlign w:val="center"/>
          </w:tcPr>
          <w:p w14:paraId="1C7C5935">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r>
      <w:tr w14:paraId="726B8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1DC41B43">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792" w:type="pct"/>
            <w:gridSpan w:val="2"/>
            <w:vAlign w:val="center"/>
          </w:tcPr>
          <w:p w14:paraId="74DF8610">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纯水制备设备废活性炭</w:t>
            </w:r>
          </w:p>
        </w:tc>
        <w:tc>
          <w:tcPr>
            <w:tcW w:w="658" w:type="pct"/>
            <w:vAlign w:val="center"/>
          </w:tcPr>
          <w:p w14:paraId="1FCA7E9E">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袋装收集</w:t>
            </w:r>
          </w:p>
        </w:tc>
        <w:tc>
          <w:tcPr>
            <w:tcW w:w="649" w:type="pct"/>
            <w:vMerge w:val="restart"/>
            <w:vAlign w:val="center"/>
          </w:tcPr>
          <w:p w14:paraId="00C80CAF">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袋装收集后收集后由纯水制备设备厂家回收</w:t>
            </w:r>
          </w:p>
        </w:tc>
        <w:tc>
          <w:tcPr>
            <w:tcW w:w="700" w:type="pct"/>
            <w:vMerge w:val="continue"/>
            <w:vAlign w:val="center"/>
          </w:tcPr>
          <w:p w14:paraId="1FE02EAA">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191" w:type="pct"/>
            <w:vMerge w:val="continue"/>
            <w:vAlign w:val="center"/>
          </w:tcPr>
          <w:p w14:paraId="26AAF83A">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800" w:type="pct"/>
            <w:vMerge w:val="continue"/>
            <w:vAlign w:val="center"/>
          </w:tcPr>
          <w:p w14:paraId="68D6F30F">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r>
      <w:tr w14:paraId="685B6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56C5830B">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792" w:type="pct"/>
            <w:gridSpan w:val="2"/>
            <w:vAlign w:val="center"/>
          </w:tcPr>
          <w:p w14:paraId="5FAC7DF5">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纯水制备设备废树脂膜</w:t>
            </w:r>
          </w:p>
        </w:tc>
        <w:tc>
          <w:tcPr>
            <w:tcW w:w="658" w:type="pct"/>
            <w:vAlign w:val="center"/>
          </w:tcPr>
          <w:p w14:paraId="09659512">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袋装收集</w:t>
            </w:r>
          </w:p>
        </w:tc>
        <w:tc>
          <w:tcPr>
            <w:tcW w:w="649" w:type="pct"/>
            <w:vMerge w:val="continue"/>
            <w:vAlign w:val="center"/>
          </w:tcPr>
          <w:p w14:paraId="18F59203">
            <w:pPr>
              <w:keepNext w:val="0"/>
              <w:keepLines w:val="0"/>
              <w:pageBreakBefore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700" w:type="pct"/>
            <w:vMerge w:val="continue"/>
            <w:vAlign w:val="center"/>
          </w:tcPr>
          <w:p w14:paraId="4A792F04">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191" w:type="pct"/>
            <w:vMerge w:val="continue"/>
            <w:vAlign w:val="center"/>
          </w:tcPr>
          <w:p w14:paraId="7A7DB99D">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800" w:type="pct"/>
            <w:vMerge w:val="continue"/>
            <w:vAlign w:val="center"/>
          </w:tcPr>
          <w:p w14:paraId="2859D993">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r>
      <w:tr w14:paraId="7C8BB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6" w:hRule="atLeast"/>
          <w:jc w:val="center"/>
        </w:trPr>
        <w:tc>
          <w:tcPr>
            <w:tcW w:w="206" w:type="pct"/>
            <w:vMerge w:val="continue"/>
            <w:vAlign w:val="center"/>
          </w:tcPr>
          <w:p w14:paraId="2F163D8D">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792" w:type="pct"/>
            <w:gridSpan w:val="2"/>
            <w:vAlign w:val="center"/>
          </w:tcPr>
          <w:p w14:paraId="53F85601">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生活垃圾</w:t>
            </w:r>
          </w:p>
        </w:tc>
        <w:tc>
          <w:tcPr>
            <w:tcW w:w="658" w:type="pct"/>
            <w:vAlign w:val="center"/>
          </w:tcPr>
          <w:p w14:paraId="6842AB0C">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袋装收集</w:t>
            </w:r>
          </w:p>
        </w:tc>
        <w:tc>
          <w:tcPr>
            <w:tcW w:w="649" w:type="pct"/>
            <w:vAlign w:val="center"/>
          </w:tcPr>
          <w:p w14:paraId="27128624">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由环卫部门统一处置</w:t>
            </w:r>
          </w:p>
        </w:tc>
        <w:tc>
          <w:tcPr>
            <w:tcW w:w="700" w:type="pct"/>
            <w:vMerge w:val="continue"/>
            <w:vAlign w:val="center"/>
          </w:tcPr>
          <w:p w14:paraId="14A39E52">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191" w:type="pct"/>
            <w:vAlign w:val="center"/>
          </w:tcPr>
          <w:p w14:paraId="711AF5A9">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《生活垃圾填埋场污染控制标准》</w:t>
            </w:r>
            <w:r>
              <w:rPr>
                <w:rFonts w:hint="default" w:ascii="Times New Roman" w:hAnsi="Times New Roman" w:eastAsia="宋体" w:cs="Times New Roman"/>
                <w:color w:val="000000" w:themeColor="text1"/>
                <w:kern w:val="0"/>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GB16889-2008</w:t>
            </w:r>
            <w:r>
              <w:rPr>
                <w:rFonts w:hint="default" w:ascii="Times New Roman" w:hAnsi="Times New Roman" w:eastAsia="宋体" w:cs="Times New Roman"/>
                <w:color w:val="000000" w:themeColor="text1"/>
                <w:kern w:val="0"/>
                <w:sz w:val="21"/>
                <w:szCs w:val="21"/>
                <w:highlight w:val="none"/>
                <w:lang w:eastAsia="zh-CN"/>
                <w14:textFill>
                  <w14:solidFill>
                    <w14:schemeClr w14:val="tx1"/>
                  </w14:solidFill>
                </w14:textFill>
              </w:rPr>
              <w:t>）</w:t>
            </w: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中的相关规定</w:t>
            </w:r>
          </w:p>
        </w:tc>
        <w:tc>
          <w:tcPr>
            <w:tcW w:w="800" w:type="pct"/>
            <w:vAlign w:val="center"/>
          </w:tcPr>
          <w:p w14:paraId="033857EE">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spacing w:val="-20"/>
                <w:kern w:val="0"/>
                <w:sz w:val="21"/>
                <w:szCs w:val="21"/>
                <w:highlight w:val="none"/>
                <w:lang w:val="en-US" w:eastAsia="zh-CN"/>
                <w14:textFill>
                  <w14:solidFill>
                    <w14:schemeClr w14:val="tx1"/>
                  </w14:solidFill>
                </w14:textFill>
              </w:rPr>
              <w:t>一致</w:t>
            </w:r>
          </w:p>
        </w:tc>
      </w:tr>
      <w:tr w14:paraId="623D4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2BA20E82">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792" w:type="pct"/>
            <w:gridSpan w:val="2"/>
            <w:vAlign w:val="center"/>
          </w:tcPr>
          <w:p w14:paraId="43BEC192">
            <w:pPr>
              <w:keepNext w:val="0"/>
              <w:keepLines w:val="0"/>
              <w:pageBreakBefore w:val="0"/>
              <w:widowControl/>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废润滑油</w:t>
            </w:r>
          </w:p>
        </w:tc>
        <w:tc>
          <w:tcPr>
            <w:tcW w:w="658" w:type="pct"/>
            <w:vAlign w:val="center"/>
          </w:tcPr>
          <w:p w14:paraId="1AEFA594">
            <w:pPr>
              <w:keepNext w:val="0"/>
              <w:keepLines w:val="0"/>
              <w:pageBreakBefore w:val="0"/>
              <w:widowControl/>
              <w:kinsoku/>
              <w:wordWrap/>
              <w:overflowPunct/>
              <w:topLinePunct/>
              <w:autoSpaceDE/>
              <w:autoSpaceDN/>
              <w:bidi w:val="0"/>
              <w:adjustRightInd w:val="0"/>
              <w:snapToGrid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桶装</w:t>
            </w: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收集</w:t>
            </w:r>
          </w:p>
        </w:tc>
        <w:tc>
          <w:tcPr>
            <w:tcW w:w="649" w:type="pct"/>
            <w:vMerge w:val="restart"/>
            <w:vAlign w:val="center"/>
          </w:tcPr>
          <w:p w14:paraId="2BC03FDB">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收集后暂存于危废库中，定期由有</w:t>
            </w: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资质单位处置</w:t>
            </w:r>
          </w:p>
        </w:tc>
        <w:tc>
          <w:tcPr>
            <w:tcW w:w="700" w:type="pct"/>
            <w:vMerge w:val="continue"/>
            <w:vAlign w:val="center"/>
          </w:tcPr>
          <w:p w14:paraId="73565DDA">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191" w:type="pct"/>
            <w:vMerge w:val="restart"/>
            <w:vAlign w:val="center"/>
          </w:tcPr>
          <w:p w14:paraId="22C327C6">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《危险废物贮存污染控制标准》（GB18597-2001）及修改单要求</w:t>
            </w:r>
          </w:p>
        </w:tc>
        <w:tc>
          <w:tcPr>
            <w:tcW w:w="800" w:type="pct"/>
            <w:vMerge w:val="restart"/>
            <w:vAlign w:val="center"/>
          </w:tcPr>
          <w:p w14:paraId="355BCA39">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spacing w:val="-20"/>
                <w:kern w:val="0"/>
                <w:sz w:val="21"/>
                <w:szCs w:val="21"/>
                <w:highlight w:val="none"/>
                <w:lang w:val="en-US" w:eastAsia="zh-CN"/>
                <w14:textFill>
                  <w14:solidFill>
                    <w14:schemeClr w14:val="tx1"/>
                  </w14:solidFill>
                </w14:textFill>
              </w:rPr>
              <w:t>一致</w:t>
            </w:r>
          </w:p>
        </w:tc>
      </w:tr>
      <w:tr w14:paraId="46BB1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63996AD5">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792" w:type="pct"/>
            <w:gridSpan w:val="2"/>
            <w:vAlign w:val="center"/>
          </w:tcPr>
          <w:p w14:paraId="710453F1">
            <w:pPr>
              <w:keepNext w:val="0"/>
              <w:keepLines w:val="0"/>
              <w:pageBreakBefore w:val="0"/>
              <w:widowControl/>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废润滑油桶</w:t>
            </w:r>
          </w:p>
        </w:tc>
        <w:tc>
          <w:tcPr>
            <w:tcW w:w="658" w:type="pct"/>
            <w:vAlign w:val="center"/>
          </w:tcPr>
          <w:p w14:paraId="5150A3B2">
            <w:pPr>
              <w:keepNext w:val="0"/>
              <w:keepLines w:val="0"/>
              <w:pageBreakBefore w:val="0"/>
              <w:widowControl/>
              <w:kinsoku/>
              <w:wordWrap/>
              <w:overflowPunct/>
              <w:topLinePunct/>
              <w:autoSpaceDE/>
              <w:autoSpaceDN/>
              <w:bidi w:val="0"/>
              <w:adjustRightInd w:val="0"/>
              <w:snapToGrid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堆放</w:t>
            </w:r>
          </w:p>
        </w:tc>
        <w:tc>
          <w:tcPr>
            <w:tcW w:w="649" w:type="pct"/>
            <w:vMerge w:val="continue"/>
            <w:vAlign w:val="center"/>
          </w:tcPr>
          <w:p w14:paraId="7F187618">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700" w:type="pct"/>
            <w:vMerge w:val="continue"/>
            <w:vAlign w:val="center"/>
          </w:tcPr>
          <w:p w14:paraId="4513519C">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191" w:type="pct"/>
            <w:vMerge w:val="continue"/>
            <w:vAlign w:val="center"/>
          </w:tcPr>
          <w:p w14:paraId="59B28E31">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800" w:type="pct"/>
            <w:vMerge w:val="continue"/>
            <w:vAlign w:val="center"/>
          </w:tcPr>
          <w:p w14:paraId="670DB108">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r>
      <w:tr w14:paraId="3A850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6CCD0964">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792" w:type="pct"/>
            <w:gridSpan w:val="2"/>
            <w:vAlign w:val="center"/>
          </w:tcPr>
          <w:p w14:paraId="37583BC3">
            <w:pPr>
              <w:keepNext w:val="0"/>
              <w:keepLines w:val="0"/>
              <w:pageBreakBefore w:val="0"/>
              <w:widowControl/>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槽内油泥</w:t>
            </w:r>
          </w:p>
        </w:tc>
        <w:tc>
          <w:tcPr>
            <w:tcW w:w="658" w:type="pct"/>
            <w:vAlign w:val="center"/>
          </w:tcPr>
          <w:p w14:paraId="0D6BA5C9">
            <w:pPr>
              <w:keepNext w:val="0"/>
              <w:keepLines w:val="0"/>
              <w:pageBreakBefore w:val="0"/>
              <w:widowControl/>
              <w:kinsoku/>
              <w:wordWrap/>
              <w:overflowPunct/>
              <w:topLinePunct/>
              <w:autoSpaceDE/>
              <w:autoSpaceDN/>
              <w:bidi w:val="0"/>
              <w:adjustRightInd w:val="0"/>
              <w:snapToGrid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桶装</w:t>
            </w: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收集</w:t>
            </w:r>
          </w:p>
        </w:tc>
        <w:tc>
          <w:tcPr>
            <w:tcW w:w="649" w:type="pct"/>
            <w:vMerge w:val="continue"/>
            <w:vAlign w:val="center"/>
          </w:tcPr>
          <w:p w14:paraId="3C778D2C">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700" w:type="pct"/>
            <w:vMerge w:val="continue"/>
            <w:vAlign w:val="center"/>
          </w:tcPr>
          <w:p w14:paraId="51D680DD">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191" w:type="pct"/>
            <w:vMerge w:val="continue"/>
            <w:vAlign w:val="center"/>
          </w:tcPr>
          <w:p w14:paraId="20277346">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800" w:type="pct"/>
            <w:vMerge w:val="continue"/>
            <w:vAlign w:val="center"/>
          </w:tcPr>
          <w:p w14:paraId="3B61654F">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r>
      <w:tr w14:paraId="05518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629294DA">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792" w:type="pct"/>
            <w:gridSpan w:val="2"/>
            <w:vAlign w:val="center"/>
          </w:tcPr>
          <w:p w14:paraId="52A8CF5C">
            <w:pPr>
              <w:keepNext w:val="0"/>
              <w:keepLines w:val="0"/>
              <w:pageBreakBefore w:val="0"/>
              <w:widowControl/>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化学品包装</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瓶/</w:t>
            </w:r>
            <w:r>
              <w:rPr>
                <w:rFonts w:hint="default" w:ascii="Times New Roman" w:hAnsi="Times New Roman" w:eastAsia="宋体" w:cs="Times New Roman"/>
                <w:color w:val="000000" w:themeColor="text1"/>
                <w:sz w:val="21"/>
                <w:szCs w:val="21"/>
                <w:highlight w:val="none"/>
                <w14:textFill>
                  <w14:solidFill>
                    <w14:schemeClr w14:val="tx1"/>
                  </w14:solidFill>
                </w14:textFill>
              </w:rPr>
              <w:t>桶</w:t>
            </w:r>
          </w:p>
        </w:tc>
        <w:tc>
          <w:tcPr>
            <w:tcW w:w="658" w:type="pct"/>
            <w:vAlign w:val="center"/>
          </w:tcPr>
          <w:p w14:paraId="2DEE94C6">
            <w:pPr>
              <w:keepNext w:val="0"/>
              <w:keepLines w:val="0"/>
              <w:pageBreakBefore w:val="0"/>
              <w:widowControl/>
              <w:kinsoku/>
              <w:wordWrap/>
              <w:overflowPunct/>
              <w:topLinePunct/>
              <w:autoSpaceDE/>
              <w:autoSpaceDN/>
              <w:bidi w:val="0"/>
              <w:adjustRightInd w:val="0"/>
              <w:snapToGrid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堆放</w:t>
            </w:r>
          </w:p>
        </w:tc>
        <w:tc>
          <w:tcPr>
            <w:tcW w:w="649" w:type="pct"/>
            <w:vMerge w:val="continue"/>
            <w:vAlign w:val="center"/>
          </w:tcPr>
          <w:p w14:paraId="7B385137">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700" w:type="pct"/>
            <w:vMerge w:val="continue"/>
            <w:vAlign w:val="center"/>
          </w:tcPr>
          <w:p w14:paraId="5F5147CE">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191" w:type="pct"/>
            <w:vMerge w:val="continue"/>
            <w:vAlign w:val="center"/>
          </w:tcPr>
          <w:p w14:paraId="29CC2CC9">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800" w:type="pct"/>
            <w:vMerge w:val="continue"/>
            <w:vAlign w:val="center"/>
          </w:tcPr>
          <w:p w14:paraId="134C139D">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r>
      <w:tr w14:paraId="121C5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2DA244FF">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792" w:type="pct"/>
            <w:gridSpan w:val="2"/>
            <w:vAlign w:val="center"/>
          </w:tcPr>
          <w:p w14:paraId="6694AFAB">
            <w:pPr>
              <w:keepNext w:val="0"/>
              <w:keepLines w:val="0"/>
              <w:pageBreakBefore w:val="0"/>
              <w:widowControl/>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废槽渣</w:t>
            </w:r>
          </w:p>
        </w:tc>
        <w:tc>
          <w:tcPr>
            <w:tcW w:w="658" w:type="pct"/>
            <w:vAlign w:val="center"/>
          </w:tcPr>
          <w:p w14:paraId="4BEF59F8">
            <w:pPr>
              <w:keepNext w:val="0"/>
              <w:keepLines w:val="0"/>
              <w:pageBreakBefore w:val="0"/>
              <w:widowControl/>
              <w:kinsoku/>
              <w:wordWrap/>
              <w:overflowPunct/>
              <w:topLinePunct/>
              <w:autoSpaceDE/>
              <w:autoSpaceDN/>
              <w:bidi w:val="0"/>
              <w:adjustRightInd w:val="0"/>
              <w:snapToGrid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桶装</w:t>
            </w: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收集</w:t>
            </w:r>
          </w:p>
        </w:tc>
        <w:tc>
          <w:tcPr>
            <w:tcW w:w="649" w:type="pct"/>
            <w:vMerge w:val="continue"/>
            <w:vAlign w:val="center"/>
          </w:tcPr>
          <w:p w14:paraId="67C28A52">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700" w:type="pct"/>
            <w:vMerge w:val="continue"/>
            <w:vAlign w:val="center"/>
          </w:tcPr>
          <w:p w14:paraId="55E1BDE9">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191" w:type="pct"/>
            <w:vMerge w:val="continue"/>
            <w:vAlign w:val="center"/>
          </w:tcPr>
          <w:p w14:paraId="35CF37B3">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800" w:type="pct"/>
            <w:vMerge w:val="continue"/>
            <w:vAlign w:val="center"/>
          </w:tcPr>
          <w:p w14:paraId="6CA1542B">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r>
      <w:tr w14:paraId="6992A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1F27DE57">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792" w:type="pct"/>
            <w:gridSpan w:val="2"/>
            <w:vAlign w:val="center"/>
          </w:tcPr>
          <w:p w14:paraId="465825D0">
            <w:pPr>
              <w:keepNext w:val="0"/>
              <w:keepLines w:val="0"/>
              <w:pageBreakBefore w:val="0"/>
              <w:widowControl/>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污泥</w:t>
            </w:r>
          </w:p>
        </w:tc>
        <w:tc>
          <w:tcPr>
            <w:tcW w:w="658" w:type="pct"/>
            <w:vAlign w:val="center"/>
          </w:tcPr>
          <w:p w14:paraId="4DF44D0A">
            <w:pPr>
              <w:keepNext w:val="0"/>
              <w:keepLines w:val="0"/>
              <w:pageBreakBefore w:val="0"/>
              <w:widowControl/>
              <w:kinsoku/>
              <w:wordWrap/>
              <w:overflowPunct/>
              <w:topLinePunct/>
              <w:autoSpaceDE/>
              <w:autoSpaceDN/>
              <w:bidi w:val="0"/>
              <w:adjustRightInd w:val="0"/>
              <w:snapToGrid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桶装</w:t>
            </w: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收集</w:t>
            </w:r>
          </w:p>
        </w:tc>
        <w:tc>
          <w:tcPr>
            <w:tcW w:w="649" w:type="pct"/>
            <w:vMerge w:val="continue"/>
            <w:vAlign w:val="center"/>
          </w:tcPr>
          <w:p w14:paraId="53120AA8">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700" w:type="pct"/>
            <w:vMerge w:val="continue"/>
            <w:vAlign w:val="center"/>
          </w:tcPr>
          <w:p w14:paraId="26E515C5">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191" w:type="pct"/>
            <w:vMerge w:val="continue"/>
            <w:vAlign w:val="center"/>
          </w:tcPr>
          <w:p w14:paraId="678AFBBC">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800" w:type="pct"/>
            <w:vMerge w:val="continue"/>
            <w:vAlign w:val="center"/>
          </w:tcPr>
          <w:p w14:paraId="2A4A6F21">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r>
      <w:tr w14:paraId="5056E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1C18DC47">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792" w:type="pct"/>
            <w:gridSpan w:val="2"/>
            <w:vAlign w:val="center"/>
          </w:tcPr>
          <w:p w14:paraId="3EED0A20">
            <w:pPr>
              <w:keepNext w:val="0"/>
              <w:keepLines w:val="0"/>
              <w:pageBreakBefore w:val="0"/>
              <w:widowControl/>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废滤膜</w:t>
            </w:r>
          </w:p>
        </w:tc>
        <w:tc>
          <w:tcPr>
            <w:tcW w:w="658" w:type="pct"/>
            <w:vAlign w:val="center"/>
          </w:tcPr>
          <w:p w14:paraId="64033834">
            <w:pPr>
              <w:keepNext w:val="0"/>
              <w:keepLines w:val="0"/>
              <w:pageBreakBefore w:val="0"/>
              <w:widowControl/>
              <w:kinsoku/>
              <w:wordWrap/>
              <w:overflowPunct/>
              <w:topLinePunct/>
              <w:autoSpaceDE/>
              <w:autoSpaceDN/>
              <w:bidi w:val="0"/>
              <w:adjustRightInd w:val="0"/>
              <w:snapToGrid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袋装收集</w:t>
            </w:r>
          </w:p>
        </w:tc>
        <w:tc>
          <w:tcPr>
            <w:tcW w:w="649" w:type="pct"/>
            <w:vMerge w:val="continue"/>
            <w:vAlign w:val="center"/>
          </w:tcPr>
          <w:p w14:paraId="600382FB">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700" w:type="pct"/>
            <w:vMerge w:val="continue"/>
            <w:vAlign w:val="center"/>
          </w:tcPr>
          <w:p w14:paraId="12F05F8D">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191" w:type="pct"/>
            <w:vMerge w:val="continue"/>
            <w:vAlign w:val="center"/>
          </w:tcPr>
          <w:p w14:paraId="0F32BED2">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800" w:type="pct"/>
            <w:vMerge w:val="continue"/>
            <w:vAlign w:val="center"/>
          </w:tcPr>
          <w:p w14:paraId="5CF59570">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r>
      <w:tr w14:paraId="00047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310551F8">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792" w:type="pct"/>
            <w:gridSpan w:val="2"/>
            <w:vAlign w:val="center"/>
          </w:tcPr>
          <w:p w14:paraId="2352E60E">
            <w:pPr>
              <w:keepNext w:val="0"/>
              <w:keepLines w:val="0"/>
              <w:pageBreakBefore w:val="0"/>
              <w:widowControl/>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废滤芯</w:t>
            </w:r>
          </w:p>
        </w:tc>
        <w:tc>
          <w:tcPr>
            <w:tcW w:w="658" w:type="pct"/>
            <w:vAlign w:val="center"/>
          </w:tcPr>
          <w:p w14:paraId="178382F1">
            <w:pPr>
              <w:keepNext w:val="0"/>
              <w:keepLines w:val="0"/>
              <w:pageBreakBefore w:val="0"/>
              <w:widowControl/>
              <w:kinsoku/>
              <w:wordWrap/>
              <w:overflowPunct/>
              <w:topLinePunct/>
              <w:autoSpaceDE/>
              <w:autoSpaceDN/>
              <w:bidi w:val="0"/>
              <w:adjustRightInd w:val="0"/>
              <w:snapToGrid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袋装收集</w:t>
            </w:r>
          </w:p>
        </w:tc>
        <w:tc>
          <w:tcPr>
            <w:tcW w:w="649" w:type="pct"/>
            <w:vMerge w:val="continue"/>
            <w:vAlign w:val="center"/>
          </w:tcPr>
          <w:p w14:paraId="1D6C547C">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700" w:type="pct"/>
            <w:vMerge w:val="continue"/>
            <w:vAlign w:val="center"/>
          </w:tcPr>
          <w:p w14:paraId="164F8D54">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191" w:type="pct"/>
            <w:vMerge w:val="continue"/>
            <w:vAlign w:val="center"/>
          </w:tcPr>
          <w:p w14:paraId="202A30BD">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800" w:type="pct"/>
            <w:vMerge w:val="continue"/>
            <w:vAlign w:val="center"/>
          </w:tcPr>
          <w:p w14:paraId="6F917970">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r>
      <w:tr w14:paraId="06372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01AEBE42">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792" w:type="pct"/>
            <w:gridSpan w:val="2"/>
            <w:vAlign w:val="center"/>
          </w:tcPr>
          <w:p w14:paraId="6AA15D71">
            <w:pPr>
              <w:keepNext w:val="0"/>
              <w:keepLines w:val="0"/>
              <w:pageBreakBefore w:val="0"/>
              <w:widowControl/>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隔油池废油</w:t>
            </w:r>
          </w:p>
        </w:tc>
        <w:tc>
          <w:tcPr>
            <w:tcW w:w="658" w:type="pct"/>
            <w:vAlign w:val="center"/>
          </w:tcPr>
          <w:p w14:paraId="011A184F">
            <w:pPr>
              <w:keepNext w:val="0"/>
              <w:keepLines w:val="0"/>
              <w:pageBreakBefore w:val="0"/>
              <w:widowControl/>
              <w:kinsoku/>
              <w:wordWrap/>
              <w:overflowPunct/>
              <w:topLinePunct/>
              <w:autoSpaceDE/>
              <w:autoSpaceDN/>
              <w:bidi w:val="0"/>
              <w:adjustRightInd w:val="0"/>
              <w:snapToGrid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桶装</w:t>
            </w: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收集</w:t>
            </w:r>
          </w:p>
        </w:tc>
        <w:tc>
          <w:tcPr>
            <w:tcW w:w="649" w:type="pct"/>
            <w:vMerge w:val="continue"/>
            <w:vAlign w:val="center"/>
          </w:tcPr>
          <w:p w14:paraId="1865591C">
            <w:pPr>
              <w:keepNext w:val="0"/>
              <w:keepLines w:val="0"/>
              <w:pageBreakBefore w:val="0"/>
              <w:widowControl/>
              <w:kinsoku/>
              <w:wordWrap/>
              <w:overflowPunct/>
              <w:topLinePunct w:val="0"/>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700" w:type="pct"/>
            <w:vMerge w:val="continue"/>
            <w:vAlign w:val="center"/>
          </w:tcPr>
          <w:p w14:paraId="196DF891">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191" w:type="pct"/>
            <w:vMerge w:val="continue"/>
            <w:vAlign w:val="center"/>
          </w:tcPr>
          <w:p w14:paraId="339094B1">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800" w:type="pct"/>
            <w:vMerge w:val="continue"/>
            <w:vAlign w:val="center"/>
          </w:tcPr>
          <w:p w14:paraId="0F764EA4">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r>
      <w:tr w14:paraId="3143B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206" w:type="pct"/>
            <w:vMerge w:val="continue"/>
            <w:vAlign w:val="center"/>
          </w:tcPr>
          <w:p w14:paraId="57C74A3C">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792" w:type="pct"/>
            <w:gridSpan w:val="2"/>
            <w:vAlign w:val="center"/>
          </w:tcPr>
          <w:p w14:paraId="3F7FBA5F">
            <w:pPr>
              <w:keepNext w:val="0"/>
              <w:keepLines w:val="0"/>
              <w:pageBreakBefore w:val="0"/>
              <w:widowControl/>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污水处理站反渗透浓排水</w:t>
            </w:r>
          </w:p>
        </w:tc>
        <w:tc>
          <w:tcPr>
            <w:tcW w:w="658" w:type="pct"/>
            <w:vAlign w:val="center"/>
          </w:tcPr>
          <w:p w14:paraId="1E5CA598">
            <w:pPr>
              <w:keepNext w:val="0"/>
              <w:keepLines w:val="0"/>
              <w:pageBreakBefore w:val="0"/>
              <w:widowControl/>
              <w:kinsoku/>
              <w:wordWrap/>
              <w:overflowPunct/>
              <w:topLinePunct/>
              <w:autoSpaceDE/>
              <w:autoSpaceDN/>
              <w:bidi w:val="0"/>
              <w:adjustRightInd w:val="0"/>
              <w:snapToGrid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桶装</w:t>
            </w: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收集</w:t>
            </w:r>
          </w:p>
        </w:tc>
        <w:tc>
          <w:tcPr>
            <w:tcW w:w="649" w:type="pct"/>
            <w:vMerge w:val="continue"/>
            <w:vAlign w:val="center"/>
          </w:tcPr>
          <w:p w14:paraId="49A1A5FB">
            <w:pPr>
              <w:keepNext w:val="0"/>
              <w:keepLines w:val="0"/>
              <w:pageBreakBefore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700" w:type="pct"/>
            <w:vMerge w:val="continue"/>
            <w:vAlign w:val="center"/>
          </w:tcPr>
          <w:p w14:paraId="3436E7EC">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191" w:type="pct"/>
            <w:vMerge w:val="continue"/>
            <w:vAlign w:val="center"/>
          </w:tcPr>
          <w:p w14:paraId="2B425E24">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800" w:type="pct"/>
            <w:vMerge w:val="continue"/>
            <w:vAlign w:val="center"/>
          </w:tcPr>
          <w:p w14:paraId="24CB30BF">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r>
      <w:tr w14:paraId="16312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999" w:type="pct"/>
            <w:gridSpan w:val="3"/>
            <w:vAlign w:val="center"/>
          </w:tcPr>
          <w:p w14:paraId="7EBFC9AE">
            <w:pPr>
              <w:keepNext w:val="0"/>
              <w:keepLines w:val="0"/>
              <w:pageBreakBefore w:val="0"/>
              <w:widowControl/>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防腐防渗</w:t>
            </w:r>
          </w:p>
        </w:tc>
        <w:tc>
          <w:tcPr>
            <w:tcW w:w="3200" w:type="pct"/>
            <w:gridSpan w:val="4"/>
            <w:vAlign w:val="center"/>
          </w:tcPr>
          <w:p w14:paraId="7E88AB9A">
            <w:pPr>
              <w:keepNext w:val="0"/>
              <w:keepLines w:val="0"/>
              <w:pageBreakBefore w:val="0"/>
              <w:kinsoku/>
              <w:wordWrap/>
              <w:overflowPunct/>
              <w:topLinePunct/>
              <w:autoSpaceDE/>
              <w:autoSpaceDN/>
              <w:bidi w:val="0"/>
              <w:adjustRightInd w:val="0"/>
              <w:snapToGrid w:val="0"/>
              <w:spacing w:line="320" w:lineRule="exact"/>
              <w:ind w:left="0" w:leftChars="0" w:right="0" w:rightChars="0" w:firstLine="420" w:firstLineChars="200"/>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各单元防渗工程的设计使用年限不低于相对应设备、管道或建构筑物的设计使用年限；</w:t>
            </w:r>
          </w:p>
          <w:p w14:paraId="69A13E65">
            <w:pPr>
              <w:keepNext w:val="0"/>
              <w:keepLines w:val="0"/>
              <w:pageBreakBefore w:val="0"/>
              <w:kinsoku/>
              <w:wordWrap/>
              <w:overflowPunct/>
              <w:topLinePunct/>
              <w:autoSpaceDE/>
              <w:autoSpaceDN/>
              <w:bidi w:val="0"/>
              <w:adjustRightInd w:val="0"/>
              <w:snapToGrid w:val="0"/>
              <w:spacing w:line="320" w:lineRule="exact"/>
              <w:ind w:left="0" w:leftChars="0" w:right="0" w:rightChars="0" w:firstLine="420" w:firstLineChars="200"/>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重点防渗区（阳极氧化生产线、危废间、污水处理站、化学品库）的防渗性能应与6.0m厚黏土层，（渗透系数≤1.0×10</w:t>
            </w:r>
            <w:r>
              <w:rPr>
                <w:rFonts w:hint="default" w:ascii="Times New Roman" w:hAnsi="Times New Roman" w:eastAsia="宋体" w:cs="Times New Roman"/>
                <w:color w:val="000000" w:themeColor="text1"/>
                <w:sz w:val="21"/>
                <w:szCs w:val="21"/>
                <w:highlight w:val="none"/>
                <w:vertAlign w:val="superscript"/>
                <w:lang w:val="en-US" w:eastAsia="zh-CN"/>
                <w14:textFill>
                  <w14:solidFill>
                    <w14:schemeClr w14:val="tx1"/>
                  </w14:solidFill>
                </w14:textFill>
              </w:rPr>
              <w:t>-10</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cm/s）等效。危废间渗透系数≤1.0×10</w:t>
            </w:r>
            <w:r>
              <w:rPr>
                <w:rFonts w:hint="default" w:ascii="Times New Roman" w:hAnsi="Times New Roman" w:eastAsia="宋体" w:cs="Times New Roman"/>
                <w:color w:val="000000" w:themeColor="text1"/>
                <w:sz w:val="21"/>
                <w:szCs w:val="21"/>
                <w:highlight w:val="none"/>
                <w:vertAlign w:val="superscript"/>
                <w:lang w:val="en-US" w:eastAsia="zh-CN"/>
                <w14:textFill>
                  <w14:solidFill>
                    <w14:schemeClr w14:val="tx1"/>
                  </w14:solidFill>
                </w14:textFill>
              </w:rPr>
              <w:t>-10</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cm/s；</w:t>
            </w:r>
          </w:p>
          <w:p w14:paraId="0EFE3EC3">
            <w:pPr>
              <w:keepNext w:val="0"/>
              <w:keepLines w:val="0"/>
              <w:pageBreakBefore w:val="0"/>
              <w:kinsoku/>
              <w:wordWrap/>
              <w:overflowPunct/>
              <w:topLinePunct/>
              <w:autoSpaceDE/>
              <w:autoSpaceDN/>
              <w:bidi w:val="0"/>
              <w:adjustRightInd w:val="0"/>
              <w:snapToGrid w:val="0"/>
              <w:spacing w:line="320" w:lineRule="exact"/>
              <w:ind w:left="0" w:leftChars="0" w:right="0" w:rightChars="0" w:firstLine="420" w:firstLineChars="200"/>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阳极氧化生产线所有池体全部架空设置，</w:t>
            </w: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生产线废水输送管道均设置于地上，</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做到全部可视，池体采用PP塑料材质，</w:t>
            </w: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池体外围设置明沟，做防腐防渗处理，加盖篦子，收集洒落槽液；明沟外设置15~20cm围堰，围堰内部涂刷环氧树脂做防腐防渗处理，做到车间干湿分区</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；阳极氧化生产车间地面采取双层防渗措施，在底层铺6cm厚的三合土，压实；其上铺沥青或水泥硬化地面防渗，地面及25cm踢脚线涂刷环氧树脂漆；</w:t>
            </w:r>
          </w:p>
          <w:p w14:paraId="6904A935">
            <w:pPr>
              <w:keepNext w:val="0"/>
              <w:keepLines w:val="0"/>
              <w:pageBreakBefore w:val="0"/>
              <w:kinsoku/>
              <w:wordWrap/>
              <w:overflowPunct/>
              <w:topLinePunct/>
              <w:autoSpaceDE/>
              <w:autoSpaceDN/>
              <w:bidi w:val="0"/>
              <w:adjustRightInd w:val="0"/>
              <w:snapToGrid w:val="0"/>
              <w:spacing w:line="320" w:lineRule="exact"/>
              <w:ind w:left="0" w:leftChars="0" w:right="0" w:rightChars="0" w:firstLine="420" w:firstLineChars="200"/>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污水处理站、事故应急池做防腐防渗，池体由混凝土一体化浇筑，池底与池壁铺设环氧树脂+玻璃纤维防水材料；</w:t>
            </w:r>
          </w:p>
          <w:p w14:paraId="5D9AD813">
            <w:pPr>
              <w:keepNext w:val="0"/>
              <w:keepLines w:val="0"/>
              <w:pageBreakBefore w:val="0"/>
              <w:kinsoku/>
              <w:wordWrap/>
              <w:overflowPunct/>
              <w:topLinePunct/>
              <w:autoSpaceDE/>
              <w:autoSpaceDN/>
              <w:bidi w:val="0"/>
              <w:adjustRightInd w:val="0"/>
              <w:snapToGrid w:val="0"/>
              <w:spacing w:line="320" w:lineRule="exact"/>
              <w:ind w:left="0" w:leftChars="0" w:right="0" w:rightChars="0" w:firstLine="420" w:firstLineChars="200"/>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化学品仓库、危废间地面与裙脚采取防渗措施，有堵截泄漏的裙脚，地面及裙角均采取抗渗水泥防渗，设置至少2mm厚高密度聚乙烯或其他人工材料的防渗层，裙角高度0.2m，防渗层渗透系数小于1×10</w:t>
            </w:r>
            <w:r>
              <w:rPr>
                <w:rFonts w:hint="default" w:ascii="Times New Roman" w:hAnsi="Times New Roman" w:eastAsia="宋体" w:cs="Times New Roman"/>
                <w:color w:val="000000" w:themeColor="text1"/>
                <w:sz w:val="21"/>
                <w:szCs w:val="21"/>
                <w:highlight w:val="none"/>
                <w:vertAlign w:val="superscript"/>
                <w:lang w:val="en-US" w:eastAsia="zh-CN"/>
                <w14:textFill>
                  <w14:solidFill>
                    <w14:schemeClr w14:val="tx1"/>
                  </w14:solidFill>
                </w14:textFill>
              </w:rPr>
              <w:t>-10</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cm/s。地面及四周裙脚均应耐腐蚀，耐热且表面无裂隙，同时设置泄漏液体的收集装置。危废间设有隔离设施、报警装置和防风、防晒、防雨等安全设施，有泄漏液体收集装置，设施内有安全照明装置和观察窗口；</w:t>
            </w:r>
          </w:p>
          <w:p w14:paraId="401B9F9E">
            <w:pPr>
              <w:keepNext w:val="0"/>
              <w:keepLines w:val="0"/>
              <w:pageBreakBefore w:val="0"/>
              <w:kinsoku/>
              <w:wordWrap/>
              <w:overflowPunct/>
              <w:topLinePunct/>
              <w:autoSpaceDE/>
              <w:autoSpaceDN/>
              <w:bidi w:val="0"/>
              <w:adjustRightInd w:val="0"/>
              <w:snapToGrid w:val="0"/>
              <w:spacing w:line="320" w:lineRule="exact"/>
              <w:ind w:left="0" w:leftChars="0" w:right="0" w:rightChars="0" w:firstLine="420" w:firstLineChars="200"/>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一般防渗区：</w:t>
            </w:r>
            <w:r>
              <w:rPr>
                <w:rFonts w:hint="default" w:ascii="Times New Roman" w:hAnsi="Times New Roman" w:eastAsia="宋体" w:cs="Times New Roman"/>
                <w:color w:val="000000" w:themeColor="text1"/>
                <w:sz w:val="21"/>
                <w:szCs w:val="21"/>
                <w:highlight w:val="none"/>
                <w14:textFill>
                  <w14:solidFill>
                    <w14:schemeClr w14:val="tx1"/>
                  </w14:solidFill>
                </w14:textFill>
              </w:rPr>
              <w:t>采用天然或人工材料构筑防渗层，防渗层的厚度应相当于渗透系数为1.0×10</w:t>
            </w:r>
            <w:r>
              <w:rPr>
                <w:rFonts w:hint="default" w:ascii="Times New Roman" w:hAnsi="Times New Roman" w:eastAsia="宋体" w:cs="Times New Roman"/>
                <w:color w:val="000000" w:themeColor="text1"/>
                <w:sz w:val="21"/>
                <w:szCs w:val="21"/>
                <w:highlight w:val="none"/>
                <w:vertAlign w:val="superscript"/>
                <w14:textFill>
                  <w14:solidFill>
                    <w14:schemeClr w14:val="tx1"/>
                  </w14:solidFill>
                </w14:textFill>
              </w:rPr>
              <w:t>-7</w:t>
            </w:r>
            <w:r>
              <w:rPr>
                <w:rFonts w:hint="default" w:ascii="Times New Roman" w:hAnsi="Times New Roman" w:eastAsia="宋体" w:cs="Times New Roman"/>
                <w:color w:val="000000" w:themeColor="text1"/>
                <w:sz w:val="21"/>
                <w:szCs w:val="21"/>
                <w:highlight w:val="none"/>
                <w14:textFill>
                  <w14:solidFill>
                    <w14:schemeClr w14:val="tx1"/>
                  </w14:solidFill>
                </w14:textFill>
              </w:rPr>
              <w:t>cm/s、厚度1.5m的粘土层的防渗性能</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p>
          <w:p w14:paraId="4F1310C2">
            <w:pPr>
              <w:keepNext w:val="0"/>
              <w:keepLines w:val="0"/>
              <w:pageBreakBefore w:val="0"/>
              <w:kinsoku/>
              <w:wordWrap/>
              <w:overflowPunct/>
              <w:autoSpaceDE/>
              <w:autoSpaceDN/>
              <w:bidi w:val="0"/>
              <w:adjustRightInd w:val="0"/>
              <w:snapToGrid w:val="0"/>
              <w:spacing w:line="320" w:lineRule="exact"/>
              <w:ind w:left="0" w:leftChars="0" w:right="0" w:rightChars="0"/>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项目区域除绿化用地之外应全部进行硬化处理，实现厂区内不见黄土；加强厂区防渗、防腐设施的检查、维修力度，确保防渗措施。</w:t>
            </w:r>
          </w:p>
        </w:tc>
        <w:tc>
          <w:tcPr>
            <w:tcW w:w="800" w:type="pct"/>
            <w:shd w:val="clear" w:color="auto" w:fill="auto"/>
            <w:vAlign w:val="center"/>
          </w:tcPr>
          <w:p w14:paraId="1333A157">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center"/>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部分一致，未建设化学品库</w:t>
            </w:r>
          </w:p>
        </w:tc>
      </w:tr>
      <w:tr w14:paraId="70412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999" w:type="pct"/>
            <w:gridSpan w:val="3"/>
            <w:vAlign w:val="center"/>
          </w:tcPr>
          <w:p w14:paraId="3524CE44">
            <w:pPr>
              <w:keepNext w:val="0"/>
              <w:keepLines w:val="0"/>
              <w:pageBreakBefore w:val="0"/>
              <w:widowControl w:val="0"/>
              <w:kinsoku/>
              <w:wordWrap/>
              <w:overflowPunct/>
              <w:autoSpaceDE/>
              <w:autoSpaceDN/>
              <w:bidi w:val="0"/>
              <w:spacing w:line="320" w:lineRule="exact"/>
              <w:ind w:left="0" w:leftChars="0" w:right="0" w:rightChars="0"/>
              <w:jc w:val="center"/>
              <w:textAlignment w:val="auto"/>
              <w:rPr>
                <w:rFonts w:hint="default" w:ascii="Times New Roman" w:hAnsi="Times New Roman" w:eastAsia="宋体"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风险</w:t>
            </w:r>
          </w:p>
        </w:tc>
        <w:tc>
          <w:tcPr>
            <w:tcW w:w="3200" w:type="pct"/>
            <w:gridSpan w:val="4"/>
            <w:vAlign w:val="center"/>
          </w:tcPr>
          <w:p w14:paraId="15D6EE7D">
            <w:pPr>
              <w:keepNext w:val="0"/>
              <w:keepLines w:val="0"/>
              <w:pageBreakBefore w:val="0"/>
              <w:kinsoku/>
              <w:wordWrap/>
              <w:overflowPunct/>
              <w:autoSpaceDE/>
              <w:autoSpaceDN/>
              <w:bidi w:val="0"/>
              <w:adjustRightInd w:val="0"/>
              <w:snapToGrid w:val="0"/>
              <w:spacing w:line="320" w:lineRule="exact"/>
              <w:ind w:left="0" w:leftChars="0" w:right="0" w:rightChars="0"/>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①设计中严格执行国家、行业有关劳动安全卫生的法规和标准规范。</w:t>
            </w:r>
          </w:p>
          <w:p w14:paraId="10FDEC64">
            <w:pPr>
              <w:keepNext w:val="0"/>
              <w:keepLines w:val="0"/>
              <w:pageBreakBefore w:val="0"/>
              <w:kinsoku/>
              <w:wordWrap/>
              <w:overflowPunct/>
              <w:autoSpaceDE/>
              <w:autoSpaceDN/>
              <w:bidi w:val="0"/>
              <w:adjustRightInd w:val="0"/>
              <w:snapToGrid w:val="0"/>
              <w:spacing w:line="320" w:lineRule="exact"/>
              <w:ind w:left="0" w:leftChars="0" w:right="0" w:rightChars="0"/>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②厂房内设备布置严格执行国家有关防火防爆的规范、规定，按区域分类有关规范在厂房内划分专门的</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化学品</w:t>
            </w:r>
            <w:r>
              <w:rPr>
                <w:rFonts w:hint="default" w:ascii="Times New Roman" w:hAnsi="Times New Roman" w:eastAsia="宋体" w:cs="Times New Roman"/>
                <w:color w:val="000000" w:themeColor="text1"/>
                <w:sz w:val="21"/>
                <w:szCs w:val="21"/>
                <w:highlight w:val="none"/>
                <w14:textFill>
                  <w14:solidFill>
                    <w14:schemeClr w14:val="tx1"/>
                  </w14:solidFill>
                </w14:textFill>
              </w:rPr>
              <w:t>存储区，存储区内安装的电器设备应按照相应的区域等级采用防爆级，所有的电气设备均应接地。远离火种、热源，工作场所严禁吸烟。</w:t>
            </w:r>
          </w:p>
          <w:p w14:paraId="0ECC3D1B">
            <w:pPr>
              <w:keepNext w:val="0"/>
              <w:keepLines w:val="0"/>
              <w:pageBreakBefore w:val="0"/>
              <w:kinsoku/>
              <w:wordWrap/>
              <w:overflowPunct/>
              <w:autoSpaceDE/>
              <w:autoSpaceDN/>
              <w:bidi w:val="0"/>
              <w:adjustRightInd w:val="0"/>
              <w:snapToGrid w:val="0"/>
              <w:spacing w:line="320" w:lineRule="exact"/>
              <w:ind w:left="0" w:leftChars="0" w:right="0" w:rightChars="0"/>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③配备相应品种和数量的消防器材及应急处理设备。厂区制定风险应急措施，一旦发生化学品泄漏时，及时采取措施。</w:t>
            </w:r>
          </w:p>
          <w:p w14:paraId="7D9C6702">
            <w:pPr>
              <w:keepNext w:val="0"/>
              <w:keepLines w:val="0"/>
              <w:pageBreakBefore w:val="0"/>
              <w:kinsoku/>
              <w:wordWrap/>
              <w:overflowPunct/>
              <w:autoSpaceDE/>
              <w:autoSpaceDN/>
              <w:bidi w:val="0"/>
              <w:adjustRightInd w:val="0"/>
              <w:snapToGrid w:val="0"/>
              <w:spacing w:line="320" w:lineRule="exact"/>
              <w:ind w:left="0" w:leftChars="0" w:right="0" w:rightChars="0"/>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④制定危化品库的日常巡查制度，定期指派专人负责巡查。</w:t>
            </w:r>
          </w:p>
          <w:p w14:paraId="28F7B93B">
            <w:pPr>
              <w:keepNext w:val="0"/>
              <w:keepLines w:val="0"/>
              <w:pageBreakBefore w:val="0"/>
              <w:kinsoku/>
              <w:wordWrap/>
              <w:overflowPunct/>
              <w:autoSpaceDE/>
              <w:autoSpaceDN/>
              <w:bidi w:val="0"/>
              <w:adjustRightInd w:val="0"/>
              <w:snapToGrid w:val="0"/>
              <w:spacing w:line="320" w:lineRule="exact"/>
              <w:ind w:left="0" w:leftChars="0" w:right="0" w:rightChars="0"/>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⑤项目营运期间要加强管理，制定相应的规章制度。营运期严格杜绝润滑油的跑、冒、滴、漏现象的发生，同时要防火、防爆、防雷击，注意安全，杜绝一切不安全因素造成的对周围环境的影响。</w:t>
            </w:r>
          </w:p>
          <w:p w14:paraId="335E76E2">
            <w:pPr>
              <w:keepNext w:val="0"/>
              <w:keepLines w:val="0"/>
              <w:pageBreakBefore w:val="0"/>
              <w:kinsoku/>
              <w:wordWrap/>
              <w:overflowPunct/>
              <w:autoSpaceDE/>
              <w:autoSpaceDN/>
              <w:bidi w:val="0"/>
              <w:adjustRightInd w:val="0"/>
              <w:snapToGrid w:val="0"/>
              <w:spacing w:line="320" w:lineRule="exact"/>
              <w:ind w:left="0" w:leftChars="0" w:right="0" w:rightChars="0"/>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⑥发生事故等非正常工况，遇暴雨天气立即启动应急方案，防止厂区内事故废水流入周边河流。采取物理隔离、厂区防渗等措施；加强环境管理，设置巡视人员，及时发现及时处理风险事故。</w:t>
            </w:r>
          </w:p>
          <w:p w14:paraId="0A4BFD58">
            <w:pPr>
              <w:keepNext w:val="0"/>
              <w:keepLines w:val="0"/>
              <w:pageBreakBefore w:val="0"/>
              <w:widowControl w:val="0"/>
              <w:kinsoku/>
              <w:wordWrap/>
              <w:overflowPunct/>
              <w:autoSpaceDE/>
              <w:autoSpaceDN/>
              <w:bidi w:val="0"/>
              <w:spacing w:line="320" w:lineRule="exact"/>
              <w:ind w:left="0" w:leftChars="0" w:right="0" w:rightChars="0"/>
              <w:jc w:val="left"/>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⑦在厂区西南侧建设180m</w:t>
            </w:r>
            <w:r>
              <w:rPr>
                <w:rFonts w:hint="default" w:ascii="Times New Roman" w:hAnsi="Times New Roman" w:eastAsia="宋体" w:cs="Times New Roman"/>
                <w:color w:val="000000" w:themeColor="text1"/>
                <w:sz w:val="21"/>
                <w:szCs w:val="21"/>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事故应急池，新建厂房外应建设配备完整的雨水管网，完成后防渗等效黏土防渗层Mb≥6.0m，K≤1×10</w:t>
            </w:r>
            <w:r>
              <w:rPr>
                <w:rFonts w:hint="default" w:ascii="Times New Roman" w:hAnsi="Times New Roman" w:eastAsia="宋体" w:cs="Times New Roman"/>
                <w:color w:val="000000" w:themeColor="text1"/>
                <w:sz w:val="21"/>
                <w:szCs w:val="21"/>
                <w:highlight w:val="none"/>
                <w:vertAlign w:val="superscript"/>
                <w:lang w:val="en-US" w:eastAsia="zh-CN"/>
                <w14:textFill>
                  <w14:solidFill>
                    <w14:schemeClr w14:val="tx1"/>
                  </w14:solidFill>
                </w14:textFill>
              </w:rPr>
              <w:t>-7</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cm/s。要求厂区在厂区雨水总排口处设置了截留阀，本项目火灾爆炸事故发生情况下，关闭厂区雨水总排口截留阀，事故产生的消防废水由雨水管网收集，雨水管网通向应急事故水池的阀门打开，事故消防废水流入现有的进事故应急池中暂存，根据上述分析能满足本项目消防废水存储。事故终止后对应急池内废水进行监测，能够达到园区污水处理厂接管标准及《污水综合排放标准》（GB 8978-1996）后罐车转运至园区污水处理厂进行处理，不达标则作为危废由有资质单位进行处理</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w:t>
            </w:r>
          </w:p>
        </w:tc>
        <w:tc>
          <w:tcPr>
            <w:tcW w:w="800" w:type="pct"/>
            <w:shd w:val="clear" w:color="auto" w:fill="auto"/>
            <w:vAlign w:val="center"/>
          </w:tcPr>
          <w:p w14:paraId="09289BC9">
            <w:pPr>
              <w:pStyle w:val="53"/>
              <w:keepNext w:val="0"/>
              <w:keepLines w:val="0"/>
              <w:pageBreakBefore w:val="0"/>
              <w:widowControl w:val="0"/>
              <w:kinsoku/>
              <w:wordWrap/>
              <w:overflowPunct/>
              <w:topLinePunct w:val="0"/>
              <w:autoSpaceDE/>
              <w:autoSpaceDN/>
              <w:bidi w:val="0"/>
              <w:snapToGrid w:val="0"/>
              <w:spacing w:line="360" w:lineRule="exact"/>
              <w:ind w:firstLine="0" w:firstLineChars="0"/>
              <w:jc w:val="center"/>
              <w:textAlignment w:val="auto"/>
              <w:rPr>
                <w:rFonts w:hint="default"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部分一致，</w:t>
            </w:r>
            <w:r>
              <w:rPr>
                <w:rFonts w:hint="eastAsia" w:ascii="Times New Roman" w:hAnsi="Times New Roman" w:cs="Times New Roman"/>
                <w:color w:val="000000"/>
                <w:sz w:val="21"/>
                <w:szCs w:val="21"/>
                <w:highlight w:val="none"/>
                <w:lang w:val="en-US" w:eastAsia="zh-CN"/>
              </w:rPr>
              <w:t>由于化学品库未建设，</w:t>
            </w:r>
            <w:r>
              <w:rPr>
                <w:rFonts w:hint="eastAsia" w:ascii="Times New Roman" w:hAnsi="Times New Roman" w:eastAsia="宋体" w:cs="Times New Roman"/>
                <w:color w:val="000000"/>
                <w:sz w:val="21"/>
                <w:szCs w:val="21"/>
                <w:highlight w:val="none"/>
                <w:lang w:val="en-US" w:eastAsia="zh-CN"/>
              </w:rPr>
              <w:t>事故废水收集调整为</w:t>
            </w:r>
            <w:r>
              <w:rPr>
                <w:rFonts w:hint="eastAsia" w:ascii="Times New Roman" w:hAnsi="Times New Roman" w:cs="Times New Roman"/>
                <w:color w:val="000000"/>
                <w:sz w:val="21"/>
                <w:szCs w:val="21"/>
                <w:highlight w:val="none"/>
                <w:lang w:val="en-US" w:eastAsia="zh-CN"/>
              </w:rPr>
              <w:t>2个20</w:t>
            </w:r>
            <w:r>
              <w:rPr>
                <w:rFonts w:hint="default" w:ascii="Times New Roman" w:hAnsi="Times New Roman" w:eastAsia="宋体" w:cs="Times New Roman"/>
                <w:color w:val="000000"/>
                <w:sz w:val="21"/>
                <w:szCs w:val="21"/>
                <w:highlight w:val="none"/>
                <w:lang w:val="en-US" w:eastAsia="zh-CN"/>
              </w:rPr>
              <w:t>m</w:t>
            </w:r>
            <w:r>
              <w:rPr>
                <w:rFonts w:hint="default" w:ascii="Times New Roman" w:hAnsi="Times New Roman" w:eastAsia="宋体" w:cs="Times New Roman"/>
                <w:color w:val="000000"/>
                <w:sz w:val="21"/>
                <w:szCs w:val="21"/>
                <w:highlight w:val="none"/>
                <w:vertAlign w:val="superscript"/>
                <w:lang w:val="en-US" w:eastAsia="zh-CN"/>
              </w:rPr>
              <w:t>3</w:t>
            </w:r>
            <w:r>
              <w:rPr>
                <w:rFonts w:hint="eastAsia" w:ascii="Times New Roman" w:hAnsi="Times New Roman" w:eastAsia="宋体" w:cs="Times New Roman"/>
                <w:color w:val="000000"/>
                <w:sz w:val="21"/>
                <w:szCs w:val="21"/>
                <w:highlight w:val="none"/>
                <w:vertAlign w:val="baseline"/>
                <w:lang w:val="en-US" w:eastAsia="zh-CN"/>
              </w:rPr>
              <w:t>的</w:t>
            </w:r>
            <w:r>
              <w:rPr>
                <w:rFonts w:hint="default" w:ascii="Times New Roman" w:hAnsi="Times New Roman" w:eastAsia="宋体" w:cs="Times New Roman"/>
                <w:color w:val="000000"/>
                <w:sz w:val="21"/>
                <w:szCs w:val="21"/>
                <w:highlight w:val="none"/>
                <w:lang w:val="en-US" w:eastAsia="zh-CN"/>
              </w:rPr>
              <w:t>事故</w:t>
            </w:r>
            <w:r>
              <w:rPr>
                <w:rFonts w:hint="eastAsia" w:ascii="Times New Roman" w:hAnsi="Times New Roman" w:eastAsia="宋体" w:cs="Times New Roman"/>
                <w:color w:val="000000"/>
                <w:sz w:val="21"/>
                <w:szCs w:val="21"/>
                <w:highlight w:val="none"/>
                <w:lang w:val="en-US" w:eastAsia="zh-CN"/>
              </w:rPr>
              <w:t>收集桶</w:t>
            </w:r>
          </w:p>
        </w:tc>
      </w:tr>
    </w:tbl>
    <w:p w14:paraId="1A6F3BFB">
      <w:pPr>
        <w:pStyle w:val="39"/>
        <w:rPr>
          <w:rFonts w:hint="default"/>
          <w:highlight w:val="none"/>
        </w:rPr>
      </w:pPr>
    </w:p>
    <w:p w14:paraId="567C56AE">
      <w:pPr>
        <w:pStyle w:val="50"/>
        <w:spacing w:line="440" w:lineRule="exact"/>
        <w:ind w:left="0" w:leftChars="0" w:firstLine="0" w:firstLineChars="0"/>
        <w:jc w:val="both"/>
        <w:rPr>
          <w:rFonts w:eastAsiaTheme="minorEastAsia"/>
          <w:color w:val="000000" w:themeColor="text1"/>
          <w:kern w:val="2"/>
          <w:sz w:val="24"/>
          <w:szCs w:val="24"/>
          <w:highlight w:val="none"/>
          <w14:textFill>
            <w14:solidFill>
              <w14:schemeClr w14:val="tx1"/>
            </w14:solidFill>
          </w14:textFill>
        </w:rPr>
      </w:pPr>
    </w:p>
    <w:p w14:paraId="76B8B150">
      <w:pPr>
        <w:pStyle w:val="50"/>
        <w:spacing w:line="440" w:lineRule="exact"/>
        <w:ind w:firstLine="480" w:firstLineChars="200"/>
        <w:jc w:val="both"/>
        <w:rPr>
          <w:rFonts w:eastAsiaTheme="minorEastAsia"/>
          <w:color w:val="000000" w:themeColor="text1"/>
          <w:kern w:val="2"/>
          <w:sz w:val="24"/>
          <w:szCs w:val="24"/>
          <w:highlight w:val="none"/>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127CC506">
      <w:pPr>
        <w:pStyle w:val="4"/>
        <w:keepNext/>
        <w:keepLines/>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highlight w:val="none"/>
          <w14:textFill>
            <w14:solidFill>
              <w14:schemeClr w14:val="tx1"/>
            </w14:solidFill>
          </w14:textFill>
        </w:rPr>
      </w:pPr>
      <w:bookmarkStart w:id="19" w:name="_Toc24193"/>
      <w:r>
        <w:rPr>
          <w:rFonts w:hint="default" w:ascii="Times New Roman" w:hAnsi="Times New Roman" w:eastAsia="宋体" w:cs="Times New Roman"/>
          <w:color w:val="000000" w:themeColor="text1"/>
          <w:highlight w:val="none"/>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环境影响报告</w:t>
      </w:r>
      <w:r>
        <w:rPr>
          <w:rFonts w:hint="eastAsia" w:ascii="宋体" w:hAnsi="宋体" w:cs="宋体"/>
          <w:color w:val="000000" w:themeColor="text1"/>
          <w:highlight w:val="none"/>
          <w:lang w:val="en-US" w:eastAsia="zh-CN"/>
          <w14:textFill>
            <w14:solidFill>
              <w14:schemeClr w14:val="tx1"/>
            </w14:solidFill>
          </w14:textFill>
        </w:rPr>
        <w:t>书</w:t>
      </w:r>
      <w:r>
        <w:rPr>
          <w:rFonts w:hint="eastAsia" w:ascii="宋体" w:hAnsi="宋体" w:eastAsia="宋体" w:cs="宋体"/>
          <w:color w:val="000000" w:themeColor="text1"/>
          <w:highlight w:val="none"/>
          <w14:textFill>
            <w14:solidFill>
              <w14:schemeClr w14:val="tx1"/>
            </w14:solidFill>
          </w14:textFill>
        </w:rPr>
        <w:t>主要结论与建议及其审批部门审批决定</w:t>
      </w:r>
      <w:bookmarkEnd w:id="19"/>
    </w:p>
    <w:p w14:paraId="28C32593">
      <w:pPr>
        <w:pStyle w:val="5"/>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lang w:val="en-US" w:eastAsia="zh-CN"/>
          <w14:textFill>
            <w14:solidFill>
              <w14:schemeClr w14:val="tx1"/>
            </w14:solidFill>
          </w14:textFill>
        </w:rPr>
      </w:pPr>
      <w:bookmarkStart w:id="20" w:name="_Toc14837"/>
      <w:r>
        <w:rPr>
          <w:rFonts w:hint="default" w:ascii="Times New Roman" w:hAnsi="Times New Roman" w:eastAsia="宋体" w:cs="Times New Roman"/>
          <w:color w:val="000000" w:themeColor="text1"/>
          <w:highlight w:val="none"/>
          <w14:textFill>
            <w14:solidFill>
              <w14:schemeClr w14:val="tx1"/>
            </w14:solidFill>
          </w14:textFill>
        </w:rPr>
        <w:t>5.1结论</w:t>
      </w:r>
      <w:r>
        <w:rPr>
          <w:rFonts w:hint="default" w:ascii="Times New Roman" w:hAnsi="Times New Roman" w:eastAsia="宋体" w:cs="Times New Roman"/>
          <w:color w:val="000000" w:themeColor="text1"/>
          <w:highlight w:val="none"/>
          <w:lang w:val="en-US" w:eastAsia="zh-CN"/>
          <w14:textFill>
            <w14:solidFill>
              <w14:schemeClr w14:val="tx1"/>
            </w14:solidFill>
          </w14:textFill>
        </w:rPr>
        <w:t>及建议</w:t>
      </w:r>
      <w:bookmarkEnd w:id="20"/>
    </w:p>
    <w:p w14:paraId="21F48241">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5.1.1产业政策符合性和选址合理性分析结论</w:t>
      </w:r>
      <w:bookmarkStart w:id="21" w:name="_Toc14534"/>
    </w:p>
    <w:p w14:paraId="057905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唐山市康泰科技有限公司年产羊肉片机5000台新建项目环境影响报告书位于河北玉田经济开发区鸦鸿桥产业园，符合全国及河北省主体功能区划、京津冀战略规划、生态环境保护规划、河北玉田经济开发区鸦鸿桥产业园规划等相关规划要求；建设内容符合当前国家相关产业政策及电镀行业相关文件要求，清洁生产总体达到国内先进水平；本项目建设符合生态红线管理要求（项目不位于河北省生态红线范围内）；项目采取了完善的污染治理措施并制定了完善的环境管理与监测计划，可确保各类污染物稳定达标排放，项目不需设置大气环境防护距离；生产废水处理后回用生产，生活废水进入市政污水处理厂处理；在采取源头控制、严格分区防渗措施、地下水污染监控和风险事故应急响应的防控措施基础上，对地下水环境的影响是可接受的；通过采取工程提出的各项噪声控制措施，不会对区域声环境产生明显影响；固体废物全部综合利用或妥善处置；环境风险处于可接受水平。公示期间无公众反馈意见。综上，从环保角度而言，项目建设可行。</w:t>
      </w:r>
    </w:p>
    <w:p w14:paraId="1C3B33D5">
      <w:pPr>
        <w:pStyle w:val="5"/>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5.2审批部门审批决定</w:t>
      </w:r>
      <w:bookmarkEnd w:id="21"/>
    </w:p>
    <w:p w14:paraId="4EFC416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imes New Roman" w:hAnsi="Times New Roman" w:eastAsiaTheme="minorEastAsia"/>
          <w:b/>
          <w:bCs/>
          <w:color w:val="FF0000"/>
          <w:sz w:val="44"/>
          <w:szCs w:val="44"/>
          <w:highlight w:val="none"/>
        </w:rPr>
      </w:pPr>
      <w:r>
        <w:rPr>
          <w:rFonts w:hint="eastAsia" w:ascii="Times New Roman" w:hAnsi="Times New Roman" w:eastAsiaTheme="minorEastAsia"/>
          <w:b/>
          <w:bCs/>
          <w:color w:val="FF0000"/>
          <w:sz w:val="44"/>
          <w:szCs w:val="44"/>
          <w:highlight w:val="none"/>
          <w:lang w:val="en-US" w:eastAsia="zh-CN"/>
        </w:rPr>
        <w:t>玉田县</w:t>
      </w:r>
      <w:r>
        <w:rPr>
          <w:rFonts w:hint="eastAsia" w:ascii="Times New Roman" w:hAnsi="Times New Roman" w:eastAsiaTheme="minorEastAsia"/>
          <w:b/>
          <w:bCs/>
          <w:color w:val="FF0000"/>
          <w:sz w:val="44"/>
          <w:szCs w:val="44"/>
          <w:highlight w:val="none"/>
        </w:rPr>
        <w:t>行政审批局</w:t>
      </w:r>
    </w:p>
    <w:p w14:paraId="47B379AF">
      <w:pPr>
        <w:keepNext w:val="0"/>
        <w:keepLines w:val="0"/>
        <w:pageBreakBefore w:val="0"/>
        <w:widowControl w:val="0"/>
        <w:kinsoku/>
        <w:wordWrap/>
        <w:overflowPunct/>
        <w:topLinePunct w:val="0"/>
        <w:autoSpaceDE/>
        <w:autoSpaceDN/>
        <w:bidi w:val="0"/>
        <w:adjustRightInd/>
        <w:snapToGrid/>
        <w:spacing w:line="360" w:lineRule="auto"/>
        <w:ind w:firstLine="0" w:firstLineChars="0"/>
        <w:jc w:val="right"/>
        <w:textAlignment w:val="auto"/>
        <w:rPr>
          <w:rFonts w:hint="eastAsia" w:ascii="Times New Roman" w:hAnsi="Times New Roman" w:cs="Times New Roman" w:eastAsiaTheme="minorEastAsia"/>
          <w:color w:val="auto"/>
          <w:sz w:val="24"/>
          <w:szCs w:val="24"/>
          <w:highlight w:val="none"/>
          <w:lang w:val="en-US" w:eastAsia="zh-CN"/>
        </w:rPr>
      </w:pPr>
      <w:r>
        <w:rPr>
          <w:rFonts w:hint="eastAsia" w:ascii="Times New Roman" w:hAnsi="Times New Roman" w:cs="Times New Roman" w:eastAsiaTheme="minorEastAsia"/>
          <w:color w:val="auto"/>
          <w:sz w:val="24"/>
          <w:szCs w:val="24"/>
          <w:highlight w:val="none"/>
          <w:lang w:val="en-US" w:eastAsia="zh-CN"/>
        </w:rPr>
        <w:t>玉审环书〔2022〕4号</w:t>
      </w:r>
    </w:p>
    <w:p w14:paraId="18FB9FEF">
      <w:pPr>
        <w:keepNext w:val="0"/>
        <w:keepLines w:val="0"/>
        <w:pageBreakBefore w:val="0"/>
        <w:widowControl w:val="0"/>
        <w:kinsoku/>
        <w:wordWrap/>
        <w:overflowPunct/>
        <w:topLinePunct w:val="0"/>
        <w:autoSpaceDE/>
        <w:autoSpaceDN/>
        <w:bidi w:val="0"/>
        <w:adjustRightInd/>
        <w:snapToGrid/>
        <w:spacing w:line="360" w:lineRule="auto"/>
        <w:ind w:firstLine="0" w:firstLineChars="0"/>
        <w:jc w:val="right"/>
        <w:textAlignment w:val="auto"/>
        <w:rPr>
          <w:rFonts w:hint="eastAsia" w:ascii="Times New Roman" w:hAnsi="Times New Roman" w:cs="Times New Roman" w:eastAsiaTheme="minorEastAsia"/>
          <w:color w:val="auto"/>
          <w:sz w:val="24"/>
          <w:szCs w:val="24"/>
          <w:highlight w:val="none"/>
          <w:lang w:val="en-US" w:eastAsia="zh-CN"/>
        </w:rPr>
      </w:pPr>
      <w:r>
        <w:rPr>
          <w:rFonts w:hint="eastAsia" w:ascii="Times New Roman" w:hAnsi="Times New Roman" w:cs="Times New Roman" w:eastAsiaTheme="minorEastAsia"/>
          <w:color w:val="auto"/>
          <w:sz w:val="24"/>
          <w:szCs w:val="24"/>
          <w:highlight w:val="none"/>
          <w:lang w:val="en-US" w:eastAsia="zh-CN"/>
        </w:rPr>
        <w:t>统一编码：91130229MA0CM1HT6U2022001</w:t>
      </w:r>
    </w:p>
    <w:p w14:paraId="646A0AC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cs="Times New Roman" w:eastAsiaTheme="minorEastAsia"/>
          <w:b/>
          <w:bCs/>
          <w:color w:val="FF0000"/>
          <w:spacing w:val="-23"/>
          <w:sz w:val="32"/>
          <w:szCs w:val="32"/>
          <w:highlight w:val="none"/>
          <w:lang w:val="en-US" w:eastAsia="zh-CN"/>
        </w:rPr>
        <w:t xml:space="preserve">--------------------------------------------------------------------------------------------------- </w:t>
      </w:r>
      <w:r>
        <w:rPr>
          <w:rFonts w:hint="eastAsia" w:ascii="Times New Roman" w:hAnsi="Times New Roman" w:cs="Times New Roman" w:eastAsiaTheme="minorEastAsia"/>
          <w:color w:val="FF0000"/>
          <w:spacing w:val="-23"/>
          <w:sz w:val="24"/>
          <w:szCs w:val="24"/>
          <w:highlight w:val="none"/>
          <w:lang w:val="en-US" w:eastAsia="zh-CN"/>
        </w:rPr>
        <w:t xml:space="preserve">     </w:t>
      </w:r>
      <w:r>
        <w:rPr>
          <w:rFonts w:hint="eastAsia" w:ascii="Times New Roman" w:hAnsi="Times New Roman" w:eastAsia="宋体" w:cs="Times New Roman"/>
          <w:bCs/>
          <w:color w:val="auto"/>
          <w:sz w:val="28"/>
          <w:szCs w:val="28"/>
          <w:highlight w:val="none"/>
          <w:lang w:val="en-US" w:eastAsia="zh-CN"/>
        </w:rPr>
        <w:t>关于唐山市康泰科技有限公司年产羊肉片机5000台新建项目环境影响报告书的审批意见</w:t>
      </w:r>
    </w:p>
    <w:p w14:paraId="18E87771">
      <w:pPr>
        <w:pStyle w:val="15"/>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default"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唐山市康泰科技有限公司：</w:t>
      </w:r>
    </w:p>
    <w:p w14:paraId="7DEAD920">
      <w:pPr>
        <w:pStyle w:val="15"/>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你单位所报《唐山市康泰科技有限公司年产羊肉片机5000台新建项目环境影响报告书》（报批版）审批申请及相关材料收悉。根据环境影响报告书结论及专家审查意见，结合项目环境影响特点及公众参与调查结论，经研究，现批复如下：</w:t>
      </w:r>
    </w:p>
    <w:p w14:paraId="33739EA5">
      <w:pPr>
        <w:pStyle w:val="15"/>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唐山市康泰科技有限公司年产羊肉片机5000台新建项目位于河北省唐山市玉田县河北玉田经济开发区鸦鸿桥产业园（孙各庄村），占地2462平方米，总投资2500万元。该项目由河北玉田经济开发区管理委员会行政审批局以玉园备字[2018]168号备案。</w:t>
      </w:r>
    </w:p>
    <w:p w14:paraId="0CF8E042">
      <w:pPr>
        <w:pStyle w:val="15"/>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根据你公司委托唐山鼎清环保科技有限公司编制的《唐山市康泰科技有限公司年产羊肉片机5000台新建项目环境影响报告书》（报批版）（以下简称《报告书》）、各有关方面意见及公众参与公示意见反馈情况，在项目符合产业政策、选址符合土地利用规划等前提下，原则同意《报告书》提出的污染防治措施和设施。你公司须严格按照《报告书》所列建设项目的性质、规模、地点、生产工艺、环保措施及要求进行项目建设、并重点做好以下工作:</w:t>
      </w:r>
    </w:p>
    <w:p w14:paraId="0C68723C">
      <w:pPr>
        <w:pStyle w:val="15"/>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一、认真落实各项污染防治措施</w:t>
      </w:r>
    </w:p>
    <w:p w14:paraId="5A2AFEF2">
      <w:pPr>
        <w:pStyle w:val="15"/>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1、废气：抛光工序产生的颗粒物经收集采用脉冲布袋除尘器处理后由15米高排气简排放，颗粒物排放需满足《钢铁工业大气污染物超低排放标准》（DB13/2169-2018）中标准要求，阳极氧化工序产生的硫酸雾经收集采用碱液喷淋塔处理后由15米高排气简排放，硫酸雾排放需满足《电镀污染物排放标准》（GB21900-2008）中标准要求；车间封闭生产，阳极氧化槽设置单独生产间，颗粒物无组织排放需满足《钢铁工业大气污染物超低排放标准》（DB13/2169-2018）中标准要求，硫酸雾无组织排放需满足《大气污染物综合排放标准》（GB16297-1996）中标准要求；本项目供热用电，不设燃煤设施。</w:t>
      </w:r>
    </w:p>
    <w:p w14:paraId="7B5CCDAE">
      <w:pPr>
        <w:pStyle w:val="15"/>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2、废水：本项目喷淋塔排水、纯水制备尾水、废脱脂槽液、清洗废水、废阳极氧化槽液、废封闭槽液、阳极氧化车间保洁废水经厂区自建污水处理站（采用“调节池酸碱调节+混凝沉淀+高效气浮+超滤+精密过滤+砂滤+超滤+反渗透”的处理工艺）处理后回用于阳极氧化生产线，污水处理设施产生的浓排水桶装收集作为危废进行处理，回用水需满足《城市污水再生利用工业用水水质》(GB/T19923-2005)中标准要求；厂区不设宿舍、浴室、食堂，设水冲厕，生活污水主要为职工盥洗废水，汇同冲厕水经化粪池预处理后经市政管网排入鸦鸿桥镇污水处理厂处理，废水排放需满足《污水综合排放标准》(GB8978-1996)中标准要求，同时满足鸦鸿桥镇污水处理厂进水水质要求。</w:t>
      </w:r>
    </w:p>
    <w:p w14:paraId="5DD40CFD">
      <w:pPr>
        <w:pStyle w:val="15"/>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3、噪声：设备均置于室内，通过采用厂房隔声、基础减震等措施，确保厂界噪声值满足《工业企业厂界环境噪声排放标准》(GB12348-2008)中3类标准要求。</w:t>
      </w:r>
    </w:p>
    <w:p w14:paraId="0CDEC81C">
      <w:pPr>
        <w:pStyle w:val="15"/>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4、固废：严格按照有关规定，对固体废物实施分类收集和处理、处置，做到资源化、减量化、无害化。一般工业固废妥善处理，最大限度回收利用，危险废物按规定暂存，定期交有相应资质的危废处理单位处理。危险废物贮存间应满足《危险废物贮存污染控制标准》(GB18597-2001)及其修改单要求。</w:t>
      </w:r>
    </w:p>
    <w:p w14:paraId="7A2FAA2B">
      <w:pPr>
        <w:pStyle w:val="15"/>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二、认真落实《报告书》规定的各项清洁生产及污染物排放总量控制措施。工程投产后，本项目总量控制指标分别为二氧化硫：0t/a、氮氧化物：0t/a、化学需氧量：0t/a、氨氮：0t/a。</w:t>
      </w:r>
    </w:p>
    <w:p w14:paraId="3023CCA5">
      <w:pPr>
        <w:pStyle w:val="15"/>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三、建设项目必须严格执行环境保护设施与主体工程同时设计、同时施工、同时投产使用的环境保护“三同时”制度，落实各项环境保护措施。“三同时”现场监督检查、执行情况的监管工作由玉田县生态环境综合执法大对负责，你公司需按《建设项目环境保护“三同时”执行情况》要求，定期向玉田县生态环境综合执法大队报告“三同时”完成情况。做好项目的环境管理工作，项目竣工后，应当按照有关规定，开展竣工环境保护验收工作，验收合格后方可正式投入运行。四、环境影响报告书经批准后，项目的性质、规模、地点、生产工艺、污染防治措施发生重大变动的，应当重新报批该项目的环境影响报告书。自环境影响报告书批复文件批准之日起，如超过5年方决定工程开工建设的，环境影响报告书应当报我局重新审核。</w:t>
      </w:r>
    </w:p>
    <w:p w14:paraId="107D7BE3">
      <w:pPr>
        <w:rPr>
          <w:rFonts w:hint="eastAsia"/>
          <w:highlight w:val="none"/>
          <w:lang w:val="en-US" w:eastAsia="zh-CN"/>
        </w:rPr>
      </w:pPr>
    </w:p>
    <w:p w14:paraId="2B3E8505">
      <w:pPr>
        <w:pStyle w:val="15"/>
        <w:keepNext w:val="0"/>
        <w:keepLines w:val="0"/>
        <w:pageBreakBefore w:val="0"/>
        <w:widowControl w:val="0"/>
        <w:kinsoku/>
        <w:wordWrap/>
        <w:overflowPunct/>
        <w:topLinePunct w:val="0"/>
        <w:autoSpaceDE/>
        <w:autoSpaceDN/>
        <w:bidi w:val="0"/>
        <w:adjustRightInd/>
        <w:snapToGrid/>
        <w:spacing w:line="360" w:lineRule="auto"/>
        <w:ind w:left="480" w:leftChars="0" w:right="0" w:rightChars="0" w:hanging="480" w:hangingChars="200"/>
        <w:jc w:val="both"/>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 xml:space="preserve">唐山市康泰科技有限公司            年产羊肉片机5000台新建项目环境影响    </w:t>
      </w:r>
    </w:p>
    <w:p w14:paraId="53D55353">
      <w:pPr>
        <w:pStyle w:val="15"/>
        <w:keepNext w:val="0"/>
        <w:keepLines w:val="0"/>
        <w:pageBreakBefore w:val="0"/>
        <w:widowControl w:val="0"/>
        <w:kinsoku/>
        <w:wordWrap/>
        <w:overflowPunct/>
        <w:topLinePunct w:val="0"/>
        <w:autoSpaceDE/>
        <w:autoSpaceDN/>
        <w:bidi w:val="0"/>
        <w:adjustRightInd/>
        <w:snapToGrid/>
        <w:spacing w:line="360" w:lineRule="auto"/>
        <w:ind w:left="480" w:leftChars="0" w:right="0" w:rightChars="0" w:hanging="480" w:hangingChars="200"/>
        <w:jc w:val="both"/>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审批意见            玉田县行政审批局                2022年8月25日印</w:t>
      </w:r>
    </w:p>
    <w:p w14:paraId="301AF9B9">
      <w:pPr>
        <w:pStyle w:val="15"/>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right"/>
        <w:textAlignment w:val="auto"/>
        <w:rPr>
          <w:rFonts w:hint="eastAsia" w:ascii="Times New Roman" w:hAnsi="Times New Roman" w:eastAsia="宋体" w:cs="Times New Roman"/>
          <w:bCs/>
          <w:color w:val="auto"/>
          <w:sz w:val="24"/>
          <w:szCs w:val="24"/>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4318829A">
      <w:pPr>
        <w:pStyle w:val="5"/>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22" w:name="_Toc21244"/>
      <w:r>
        <w:rPr>
          <w:rFonts w:hint="default" w:ascii="Times New Roman" w:hAnsi="Times New Roman" w:eastAsia="宋体" w:cs="Times New Roman"/>
          <w:color w:val="000000" w:themeColor="text1"/>
          <w:highlight w:val="none"/>
          <w14:textFill>
            <w14:solidFill>
              <w14:schemeClr w14:val="tx1"/>
            </w14:solidFill>
          </w14:textFill>
        </w:rPr>
        <w:t>5.3审批意见落实情况</w:t>
      </w:r>
      <w:bookmarkEnd w:id="22"/>
    </w:p>
    <w:p w14:paraId="501C49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项目审批意见落实情况详见表5-1。</w:t>
      </w:r>
    </w:p>
    <w:p w14:paraId="3515A92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color w:val="000000" w:themeColor="text1"/>
          <w:sz w:val="24"/>
          <w:szCs w:val="24"/>
          <w:highlight w:val="none"/>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表5-1环评审批意见落实情况</w:t>
      </w:r>
    </w:p>
    <w:tbl>
      <w:tblPr>
        <w:tblStyle w:val="32"/>
        <w:tblW w:w="91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58"/>
        <w:gridCol w:w="3587"/>
        <w:gridCol w:w="3590"/>
        <w:gridCol w:w="1277"/>
      </w:tblGrid>
      <w:tr w14:paraId="4477A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58" w:type="dxa"/>
            <w:shd w:val="clear" w:color="auto" w:fill="auto"/>
            <w:noWrap w:val="0"/>
            <w:vAlign w:val="center"/>
          </w:tcPr>
          <w:p w14:paraId="7A4BE5D7">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hint="default" w:ascii="Times New Roman" w:hAnsi="Times New Roman" w:eastAsia="宋体" w:cs="Times New Roman"/>
                <w:b/>
                <w:color w:val="auto"/>
                <w:spacing w:val="-10"/>
                <w:kern w:val="2"/>
                <w:sz w:val="21"/>
                <w:szCs w:val="21"/>
                <w:highlight w:val="none"/>
                <w:lang w:val="en-US" w:eastAsia="zh-CN" w:bidi="ar-SA"/>
              </w:rPr>
            </w:pPr>
            <w:r>
              <w:rPr>
                <w:rFonts w:hint="eastAsia" w:ascii="Times New Roman" w:hAnsi="Times New Roman" w:eastAsia="宋体"/>
                <w:b/>
                <w:color w:val="auto"/>
                <w:spacing w:val="-10"/>
                <w:sz w:val="21"/>
                <w:szCs w:val="21"/>
                <w:highlight w:val="none"/>
                <w:lang w:val="en-US" w:eastAsia="zh-CN"/>
              </w:rPr>
              <w:t>类别</w:t>
            </w:r>
          </w:p>
        </w:tc>
        <w:tc>
          <w:tcPr>
            <w:tcW w:w="3587" w:type="dxa"/>
            <w:noWrap w:val="0"/>
            <w:vAlign w:val="center"/>
          </w:tcPr>
          <w:p w14:paraId="4A0FAB6B">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Times New Roman" w:hAnsi="Times New Roman" w:eastAsia="宋体" w:cs="Times New Roman"/>
                <w:b/>
                <w:spacing w:val="-10"/>
                <w:sz w:val="21"/>
                <w:szCs w:val="21"/>
                <w:highlight w:val="none"/>
              </w:rPr>
            </w:pPr>
            <w:r>
              <w:rPr>
                <w:rFonts w:hint="default" w:ascii="Times New Roman" w:hAnsi="Times New Roman" w:eastAsia="宋体" w:cs="Times New Roman"/>
                <w:b/>
                <w:spacing w:val="-10"/>
                <w:sz w:val="21"/>
                <w:szCs w:val="21"/>
                <w:highlight w:val="none"/>
              </w:rPr>
              <w:t>审批意见内容</w:t>
            </w:r>
          </w:p>
        </w:tc>
        <w:tc>
          <w:tcPr>
            <w:tcW w:w="3590" w:type="dxa"/>
            <w:noWrap w:val="0"/>
            <w:vAlign w:val="center"/>
          </w:tcPr>
          <w:p w14:paraId="2CADED8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Times New Roman" w:hAnsi="Times New Roman" w:eastAsia="宋体" w:cs="Times New Roman"/>
                <w:b/>
                <w:spacing w:val="-10"/>
                <w:kern w:val="2"/>
                <w:sz w:val="21"/>
                <w:szCs w:val="21"/>
                <w:highlight w:val="none"/>
                <w:lang w:val="en-US" w:eastAsia="zh-CN" w:bidi="ar-SA"/>
              </w:rPr>
            </w:pPr>
            <w:r>
              <w:rPr>
                <w:rFonts w:hint="default" w:ascii="Times New Roman" w:hAnsi="Times New Roman" w:eastAsia="宋体" w:cs="Times New Roman"/>
                <w:b/>
                <w:bCs/>
                <w:color w:val="000000" w:themeColor="text1"/>
                <w:spacing w:val="0"/>
                <w:sz w:val="21"/>
                <w:szCs w:val="21"/>
                <w:highlight w:val="none"/>
                <w:lang w:val="en-US" w:eastAsia="zh-CN"/>
                <w14:textFill>
                  <w14:solidFill>
                    <w14:schemeClr w14:val="tx1"/>
                  </w14:solidFill>
                </w14:textFill>
              </w:rPr>
              <w:t>实际建设内容</w:t>
            </w:r>
          </w:p>
        </w:tc>
        <w:tc>
          <w:tcPr>
            <w:tcW w:w="1277" w:type="dxa"/>
            <w:noWrap w:val="0"/>
            <w:vAlign w:val="center"/>
          </w:tcPr>
          <w:p w14:paraId="2875F6BB">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Times New Roman" w:hAnsi="Times New Roman" w:eastAsia="宋体" w:cs="Times New Roman"/>
                <w:b/>
                <w:spacing w:val="-10"/>
                <w:sz w:val="21"/>
                <w:szCs w:val="21"/>
                <w:highlight w:val="none"/>
              </w:rPr>
            </w:pPr>
            <w:r>
              <w:rPr>
                <w:rFonts w:hint="default" w:ascii="Times New Roman" w:hAnsi="Times New Roman" w:eastAsia="宋体" w:cs="Times New Roman"/>
                <w:b/>
                <w:spacing w:val="-10"/>
                <w:sz w:val="21"/>
                <w:szCs w:val="21"/>
                <w:highlight w:val="none"/>
              </w:rPr>
              <w:t>落实情况</w:t>
            </w:r>
          </w:p>
        </w:tc>
      </w:tr>
      <w:tr w14:paraId="19288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64" w:hRule="atLeast"/>
          <w:jc w:val="center"/>
        </w:trPr>
        <w:tc>
          <w:tcPr>
            <w:tcW w:w="658" w:type="dxa"/>
            <w:shd w:val="clear" w:color="auto" w:fill="auto"/>
            <w:noWrap w:val="0"/>
            <w:vAlign w:val="center"/>
          </w:tcPr>
          <w:p w14:paraId="18591741">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hint="default" w:ascii="Times New Roman" w:hAnsi="Times New Roman" w:eastAsia="宋体" w:cs="Times New Roman"/>
                <w:color w:val="auto"/>
                <w:spacing w:val="0"/>
                <w:kern w:val="2"/>
                <w:sz w:val="21"/>
                <w:szCs w:val="21"/>
                <w:highlight w:val="none"/>
                <w:lang w:val="en-US" w:eastAsia="zh-CN" w:bidi="ar-SA"/>
              </w:rPr>
            </w:pPr>
            <w:r>
              <w:rPr>
                <w:rFonts w:ascii="Times New Roman" w:hAnsi="Times New Roman" w:eastAsia="宋体"/>
                <w:color w:val="auto"/>
                <w:spacing w:val="0"/>
                <w:sz w:val="21"/>
                <w:szCs w:val="21"/>
                <w:highlight w:val="none"/>
              </w:rPr>
              <w:t>建设单位</w:t>
            </w:r>
          </w:p>
        </w:tc>
        <w:tc>
          <w:tcPr>
            <w:tcW w:w="3587" w:type="dxa"/>
            <w:noWrap w:val="0"/>
            <w:vAlign w:val="center"/>
          </w:tcPr>
          <w:p w14:paraId="22D56D90">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Times New Roman" w:hAnsi="Times New Roman" w:eastAsia="宋体" w:cs="Times New Roman"/>
                <w:bCs/>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唐山市康泰科技有限公司</w:t>
            </w:r>
          </w:p>
        </w:tc>
        <w:tc>
          <w:tcPr>
            <w:tcW w:w="3590" w:type="dxa"/>
            <w:shd w:val="clear" w:color="auto" w:fill="auto"/>
            <w:noWrap w:val="0"/>
            <w:vAlign w:val="center"/>
          </w:tcPr>
          <w:p w14:paraId="1CC7D2C3">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Times New Roman" w:hAnsi="Times New Roman" w:eastAsia="宋体" w:cs="Times New Roman"/>
                <w:bCs/>
                <w:kern w:val="2"/>
                <w:sz w:val="21"/>
                <w:szCs w:val="21"/>
                <w:highlight w:val="none"/>
                <w:lang w:val="en-US" w:eastAsia="zh-CN" w:bidi="ar-SA"/>
              </w:rPr>
            </w:pPr>
            <w:r>
              <w:rPr>
                <w:rFonts w:hint="eastAsia" w:ascii="Times New Roman" w:hAnsi="Times New Roman" w:eastAsia="宋体" w:cs="Times New Roman"/>
                <w:bCs/>
                <w:color w:val="auto"/>
                <w:sz w:val="21"/>
                <w:szCs w:val="21"/>
                <w:highlight w:val="none"/>
                <w:lang w:val="en-US" w:eastAsia="zh-CN"/>
              </w:rPr>
              <w:t>唐山市康泰科技有限公司</w:t>
            </w:r>
          </w:p>
        </w:tc>
        <w:tc>
          <w:tcPr>
            <w:tcW w:w="1277" w:type="dxa"/>
            <w:noWrap w:val="0"/>
            <w:vAlign w:val="center"/>
          </w:tcPr>
          <w:p w14:paraId="3E79AC4E">
            <w:pPr>
              <w:keepNext w:val="0"/>
              <w:keepLines w:val="0"/>
              <w:pageBreakBefore w:val="0"/>
              <w:widowControl w:val="0"/>
              <w:kinsoku/>
              <w:wordWrap/>
              <w:overflowPunct/>
              <w:topLinePunct w:val="0"/>
              <w:autoSpaceDE/>
              <w:autoSpaceDN/>
              <w:bidi w:val="0"/>
              <w:adjustRightInd/>
              <w:snapToGrid/>
              <w:spacing w:line="340" w:lineRule="exact"/>
              <w:ind w:left="0" w:leftChars="0"/>
              <w:jc w:val="center"/>
              <w:textAlignment w:val="auto"/>
              <w:rPr>
                <w:rFonts w:hint="default" w:ascii="Times New Roman" w:hAnsi="Times New Roman" w:eastAsia="宋体" w:cs="Times New Roman"/>
                <w:color w:val="000000" w:themeColor="text1"/>
                <w:spacing w:val="0"/>
                <w:kern w:val="2"/>
                <w:positio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position w:val="0"/>
                <w:sz w:val="21"/>
                <w:szCs w:val="21"/>
                <w:highlight w:val="none"/>
                <w14:textFill>
                  <w14:solidFill>
                    <w14:schemeClr w14:val="tx1"/>
                  </w14:solidFill>
                </w14:textFill>
              </w:rPr>
              <w:t>建设单位不变</w:t>
            </w:r>
          </w:p>
        </w:tc>
      </w:tr>
      <w:tr w14:paraId="0D1A2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58" w:type="dxa"/>
            <w:shd w:val="clear" w:color="auto" w:fill="auto"/>
            <w:noWrap w:val="0"/>
            <w:vAlign w:val="center"/>
          </w:tcPr>
          <w:p w14:paraId="596556B7">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hint="default" w:ascii="Times New Roman" w:hAnsi="Times New Roman" w:eastAsia="宋体" w:cs="Times New Roman"/>
                <w:color w:val="auto"/>
                <w:spacing w:val="0"/>
                <w:kern w:val="2"/>
                <w:sz w:val="21"/>
                <w:szCs w:val="21"/>
                <w:highlight w:val="none"/>
                <w:lang w:val="en-US" w:eastAsia="zh-CN" w:bidi="ar-SA"/>
              </w:rPr>
            </w:pPr>
            <w:r>
              <w:rPr>
                <w:rFonts w:ascii="Times New Roman" w:hAnsi="Times New Roman" w:eastAsia="宋体"/>
                <w:color w:val="auto"/>
                <w:spacing w:val="0"/>
                <w:sz w:val="21"/>
                <w:szCs w:val="21"/>
                <w:highlight w:val="none"/>
              </w:rPr>
              <w:t>建设地点</w:t>
            </w:r>
          </w:p>
        </w:tc>
        <w:tc>
          <w:tcPr>
            <w:tcW w:w="3587" w:type="dxa"/>
            <w:noWrap w:val="0"/>
            <w:vAlign w:val="center"/>
          </w:tcPr>
          <w:p w14:paraId="2FC9F35B">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Times New Roman" w:hAnsi="Times New Roman" w:eastAsia="宋体" w:cs="Times New Roman"/>
                <w:bCs/>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河北省唐山市玉田县河北玉田经济开发区鸦鸿桥产业园（孙各庄村）</w:t>
            </w:r>
          </w:p>
        </w:tc>
        <w:tc>
          <w:tcPr>
            <w:tcW w:w="3590" w:type="dxa"/>
            <w:shd w:val="clear" w:color="auto" w:fill="auto"/>
            <w:noWrap w:val="0"/>
            <w:vAlign w:val="center"/>
          </w:tcPr>
          <w:p w14:paraId="7CA133D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Times New Roman" w:hAnsi="Times New Roman" w:eastAsia="宋体" w:cs="Times New Roman"/>
                <w:bCs/>
                <w:kern w:val="2"/>
                <w:sz w:val="21"/>
                <w:szCs w:val="21"/>
                <w:highlight w:val="none"/>
                <w:lang w:val="en-US" w:eastAsia="zh-CN" w:bidi="ar-SA"/>
              </w:rPr>
            </w:pPr>
            <w:r>
              <w:rPr>
                <w:rFonts w:hint="eastAsia" w:ascii="Times New Roman" w:hAnsi="Times New Roman" w:eastAsia="宋体" w:cs="Times New Roman"/>
                <w:bCs/>
                <w:color w:val="auto"/>
                <w:sz w:val="21"/>
                <w:szCs w:val="21"/>
                <w:highlight w:val="none"/>
                <w:lang w:val="en-US" w:eastAsia="zh-CN"/>
              </w:rPr>
              <w:t>河北省唐山市玉田县河北玉田经济开发区鸦鸿桥产业园（孙各庄村）</w:t>
            </w:r>
          </w:p>
        </w:tc>
        <w:tc>
          <w:tcPr>
            <w:tcW w:w="1277" w:type="dxa"/>
            <w:noWrap w:val="0"/>
            <w:vAlign w:val="center"/>
          </w:tcPr>
          <w:p w14:paraId="2963D62C">
            <w:pPr>
              <w:keepNext w:val="0"/>
              <w:keepLines w:val="0"/>
              <w:pageBreakBefore w:val="0"/>
              <w:widowControl w:val="0"/>
              <w:kinsoku/>
              <w:wordWrap/>
              <w:overflowPunct/>
              <w:topLinePunct w:val="0"/>
              <w:autoSpaceDE/>
              <w:autoSpaceDN/>
              <w:bidi w:val="0"/>
              <w:adjustRightInd/>
              <w:snapToGrid/>
              <w:spacing w:line="340" w:lineRule="exact"/>
              <w:ind w:left="0" w:leftChars="0"/>
              <w:jc w:val="center"/>
              <w:textAlignment w:val="auto"/>
              <w:rPr>
                <w:rFonts w:hint="default" w:ascii="Times New Roman" w:hAnsi="Times New Roman" w:eastAsia="宋体" w:cs="Times New Roman"/>
                <w:color w:val="000000" w:themeColor="text1"/>
                <w:spacing w:val="0"/>
                <w:kern w:val="2"/>
                <w:positio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position w:val="0"/>
                <w:sz w:val="21"/>
                <w:szCs w:val="21"/>
                <w:highlight w:val="none"/>
                <w14:textFill>
                  <w14:solidFill>
                    <w14:schemeClr w14:val="tx1"/>
                  </w14:solidFill>
                </w14:textFill>
              </w:rPr>
              <w:t>建设地点不变</w:t>
            </w:r>
          </w:p>
        </w:tc>
      </w:tr>
      <w:tr w14:paraId="4B036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58" w:type="dxa"/>
            <w:shd w:val="clear" w:color="auto" w:fill="auto"/>
            <w:noWrap w:val="0"/>
            <w:vAlign w:val="center"/>
          </w:tcPr>
          <w:p w14:paraId="6E02F194">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hint="default" w:ascii="Times New Roman" w:hAnsi="Times New Roman" w:eastAsia="宋体" w:cs="Times New Roman"/>
                <w:color w:val="auto"/>
                <w:spacing w:val="0"/>
                <w:kern w:val="2"/>
                <w:sz w:val="21"/>
                <w:szCs w:val="21"/>
                <w:highlight w:val="none"/>
                <w:lang w:val="en-US" w:eastAsia="zh-CN" w:bidi="ar-SA"/>
              </w:rPr>
            </w:pPr>
            <w:r>
              <w:rPr>
                <w:rFonts w:hint="eastAsia" w:ascii="Times New Roman" w:hAnsi="Times New Roman" w:eastAsia="宋体" w:cs="Times New Roman"/>
                <w:color w:val="auto"/>
                <w:spacing w:val="0"/>
                <w:kern w:val="2"/>
                <w:sz w:val="21"/>
                <w:szCs w:val="21"/>
                <w:highlight w:val="none"/>
                <w:lang w:val="en-US" w:eastAsia="zh-CN" w:bidi="ar-SA"/>
              </w:rPr>
              <w:t>产能</w:t>
            </w:r>
          </w:p>
        </w:tc>
        <w:tc>
          <w:tcPr>
            <w:tcW w:w="3587" w:type="dxa"/>
            <w:noWrap w:val="0"/>
            <w:vAlign w:val="center"/>
          </w:tcPr>
          <w:p w14:paraId="29660673">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年产羊肉片机5000台</w:t>
            </w:r>
          </w:p>
        </w:tc>
        <w:tc>
          <w:tcPr>
            <w:tcW w:w="3590" w:type="dxa"/>
            <w:shd w:val="clear" w:color="auto" w:fill="auto"/>
            <w:noWrap w:val="0"/>
            <w:vAlign w:val="center"/>
          </w:tcPr>
          <w:p w14:paraId="2F6DD6D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Times New Roman" w:hAnsi="Times New Roman" w:eastAsia="宋体" w:cs="Times New Roman"/>
                <w:bCs/>
                <w:color w:val="auto"/>
                <w:kern w:val="2"/>
                <w:sz w:val="21"/>
                <w:szCs w:val="21"/>
                <w:highlight w:val="none"/>
                <w:lang w:val="en-US" w:eastAsia="zh-CN" w:bidi="ar-SA"/>
              </w:rPr>
            </w:pPr>
            <w:r>
              <w:rPr>
                <w:rFonts w:hint="eastAsia" w:ascii="Times New Roman" w:hAnsi="Times New Roman" w:eastAsia="宋体" w:cs="Times New Roman"/>
                <w:bCs/>
                <w:color w:val="auto"/>
                <w:sz w:val="21"/>
                <w:szCs w:val="21"/>
                <w:highlight w:val="none"/>
                <w:lang w:val="en-US" w:eastAsia="zh-CN"/>
              </w:rPr>
              <w:t>年产羊肉片机5000台</w:t>
            </w:r>
          </w:p>
        </w:tc>
        <w:tc>
          <w:tcPr>
            <w:tcW w:w="1277" w:type="dxa"/>
            <w:noWrap w:val="0"/>
            <w:vAlign w:val="center"/>
          </w:tcPr>
          <w:p w14:paraId="6D8EEAF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Times New Roman" w:hAnsi="Times New Roman" w:eastAsia="宋体" w:cs="Times New Roman"/>
                <w:bCs/>
                <w:sz w:val="21"/>
                <w:szCs w:val="21"/>
                <w:highlight w:val="none"/>
                <w:lang w:val="en-US" w:eastAsia="zh-CN"/>
              </w:rPr>
            </w:pPr>
            <w:r>
              <w:rPr>
                <w:rFonts w:hint="eastAsia" w:ascii="Times New Roman" w:hAnsi="Times New Roman" w:eastAsia="宋体" w:cs="Times New Roman"/>
                <w:bCs/>
                <w:sz w:val="21"/>
                <w:szCs w:val="21"/>
                <w:highlight w:val="none"/>
                <w:lang w:val="en-US" w:eastAsia="zh-CN"/>
              </w:rPr>
              <w:t>产能不变</w:t>
            </w:r>
          </w:p>
        </w:tc>
      </w:tr>
      <w:tr w14:paraId="388FF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58" w:type="dxa"/>
            <w:shd w:val="clear" w:color="auto" w:fill="auto"/>
            <w:noWrap w:val="0"/>
            <w:vAlign w:val="center"/>
          </w:tcPr>
          <w:p w14:paraId="3BC48AB3">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hint="eastAsia" w:ascii="Times New Roman" w:hAnsi="Times New Roman" w:eastAsia="宋体" w:cs="Times New Roman"/>
                <w:color w:val="auto"/>
                <w:spacing w:val="0"/>
                <w:kern w:val="2"/>
                <w:sz w:val="21"/>
                <w:szCs w:val="21"/>
                <w:highlight w:val="none"/>
                <w:lang w:val="en-US" w:eastAsia="zh-CN" w:bidi="ar-SA"/>
              </w:rPr>
            </w:pPr>
            <w:r>
              <w:rPr>
                <w:rFonts w:hint="eastAsia" w:ascii="Times New Roman" w:hAnsi="Times New Roman" w:eastAsiaTheme="minorEastAsia"/>
                <w:color w:val="auto"/>
                <w:spacing w:val="0"/>
                <w:sz w:val="21"/>
                <w:szCs w:val="21"/>
                <w:highlight w:val="none"/>
                <w:lang w:val="en-US" w:eastAsia="zh-CN"/>
              </w:rPr>
              <w:t>废气</w:t>
            </w:r>
          </w:p>
        </w:tc>
        <w:tc>
          <w:tcPr>
            <w:tcW w:w="3587" w:type="dxa"/>
            <w:noWrap w:val="0"/>
            <w:vAlign w:val="center"/>
          </w:tcPr>
          <w:p w14:paraId="137043C2">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default" w:ascii="Times New Roman" w:hAnsi="Times New Roman" w:eastAsia="宋体" w:cs="Times New Roman"/>
                <w:bCs/>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抛光工序产生的颗粒物经收集采用脉冲布袋除尘器处理后由15米高排气简排放，颗粒物排放需满足《钢铁工业大气污染物超低排放标准》（DB13/2169-2018）中标准要求，阳极氧化工序产生的硫酸雾经收集采用碱液喷淋塔处理后由15米高排气简排放，硫酸雾排放需满足《电镀污染物排放标准》（GB21900-2008）中标准要求；车间封闭生产，阳极氧化槽设置单独生产间，颗粒物无组织排放需满足《钢铁工业大气污染物超低排放标准》（DB13/2169-2018）中标准要求，硫酸雾无组织排放需满足《大气污染物综合排放标准》（GB16297-1996）中标准要求；本项目供热用电，不设燃煤设施。</w:t>
            </w:r>
          </w:p>
        </w:tc>
        <w:tc>
          <w:tcPr>
            <w:tcW w:w="3590" w:type="dxa"/>
            <w:shd w:val="clear" w:color="auto" w:fill="auto"/>
            <w:noWrap w:val="0"/>
            <w:vAlign w:val="center"/>
          </w:tcPr>
          <w:p w14:paraId="03CF2DFC">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default" w:ascii="Times New Roman" w:hAnsi="Times New Roman" w:eastAsia="宋体" w:cs="Times New Roman"/>
                <w:bCs/>
                <w:kern w:val="2"/>
                <w:sz w:val="21"/>
                <w:szCs w:val="21"/>
                <w:highlight w:val="none"/>
                <w:lang w:val="en-US" w:eastAsia="zh-CN" w:bidi="ar-SA"/>
              </w:rPr>
            </w:pPr>
            <w:r>
              <w:rPr>
                <w:rFonts w:hint="eastAsia" w:ascii="Times New Roman" w:hAnsi="Times New Roman" w:eastAsia="宋体" w:cs="Times New Roman"/>
                <w:bCs/>
                <w:color w:val="auto"/>
                <w:sz w:val="21"/>
                <w:szCs w:val="21"/>
                <w:highlight w:val="none"/>
                <w:lang w:val="en-US" w:eastAsia="zh-CN"/>
              </w:rPr>
              <w:t>抛光工序产生的颗粒物经收集采用脉冲布袋除尘器处理后由15米高排气简排放，颗粒物排放需满足《钢铁工业大气污染物超低排放标准》（DB13/2169-2018）中标准要求，阳极氧化工序产生的硫酸雾经收集采用碱液喷淋塔处理后由15米高排气简排放，硫酸雾排放需满足《电镀污染物排放标准》（GB21900-2008）中标准要求；车间封闭生产，阳极氧化槽设置单独生产间，颗粒物无组织排放需满足《钢铁工业大气污染物超低排放标准》（DB13/2169-2018）中标准要求，硫酸雾无组织排放需满足《大气污染物综合排放标准》（GB16297-1996）中标准要求；本项目供热用电，不设燃煤设施。</w:t>
            </w:r>
          </w:p>
        </w:tc>
        <w:tc>
          <w:tcPr>
            <w:tcW w:w="1277" w:type="dxa"/>
            <w:noWrap w:val="0"/>
            <w:vAlign w:val="center"/>
          </w:tcPr>
          <w:p w14:paraId="7F6196D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lang w:val="en-US" w:eastAsia="zh-CN"/>
              </w:rPr>
              <w:t>已落实</w:t>
            </w:r>
          </w:p>
        </w:tc>
      </w:tr>
      <w:tr w14:paraId="39364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58" w:type="dxa"/>
            <w:shd w:val="clear" w:color="auto" w:fill="auto"/>
            <w:noWrap w:val="0"/>
            <w:vAlign w:val="center"/>
          </w:tcPr>
          <w:p w14:paraId="121FA557">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hint="eastAsia" w:ascii="Times New Roman" w:hAnsi="Times New Roman" w:eastAsia="宋体" w:cs="Times New Roman"/>
                <w:color w:val="auto"/>
                <w:spacing w:val="0"/>
                <w:kern w:val="2"/>
                <w:sz w:val="21"/>
                <w:szCs w:val="21"/>
                <w:highlight w:val="none"/>
                <w:lang w:val="en-US" w:eastAsia="zh-CN" w:bidi="ar-SA"/>
              </w:rPr>
            </w:pPr>
            <w:r>
              <w:rPr>
                <w:rFonts w:hint="eastAsia" w:ascii="Times New Roman" w:hAnsi="Times New Roman" w:eastAsiaTheme="minorEastAsia"/>
                <w:color w:val="auto"/>
                <w:spacing w:val="0"/>
                <w:sz w:val="21"/>
                <w:szCs w:val="21"/>
                <w:highlight w:val="none"/>
                <w:lang w:val="en-US" w:eastAsia="zh-CN"/>
              </w:rPr>
              <w:t>废水</w:t>
            </w:r>
          </w:p>
        </w:tc>
        <w:tc>
          <w:tcPr>
            <w:tcW w:w="3587" w:type="dxa"/>
            <w:noWrap w:val="0"/>
            <w:vAlign w:val="center"/>
          </w:tcPr>
          <w:p w14:paraId="78D4BA53">
            <w:pPr>
              <w:pStyle w:val="15"/>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jc w:val="left"/>
              <w:textAlignment w:val="auto"/>
              <w:rPr>
                <w:rFonts w:hint="default" w:ascii="Times New Roman" w:hAnsi="Times New Roman" w:eastAsia="宋体" w:cs="Times New Roman"/>
                <w:bCs/>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本项目喷淋塔排水、纯水制备尾水、废脱脂槽液、清洗废水、废阳极氧化槽液、废封闭槽液、阳极氧化车间保洁废水经厂区自建污水处理站（采用“调节池酸碱调节+混凝沉淀+高效气浮+超滤+精密过滤+砂滤+超滤+反渗透”的处理工艺）处理后回用于阳极氧化生产线，污水处理设施产生的浓排水桶装收集作为危废进行处理，回用水需满足《城市污水再生利用工业用水水质》(GB/T19923-2005)中标准要求；厂区不设宿舍、浴室、食堂，设水冲厕，生活污水主要为职工盥洗废水，汇同冲厕水经化粪池预处理后经市政管网排入鸦鸿桥镇污水处理厂处理，废水排放需满足《污水综合排放标准》(GB8978-1996)中标准要求，同时满足鸦鸿桥镇污水处理厂进水水质要求。</w:t>
            </w:r>
          </w:p>
        </w:tc>
        <w:tc>
          <w:tcPr>
            <w:tcW w:w="3590" w:type="dxa"/>
            <w:shd w:val="clear" w:color="auto" w:fill="auto"/>
            <w:noWrap w:val="0"/>
            <w:vAlign w:val="center"/>
          </w:tcPr>
          <w:p w14:paraId="4EC14A5C">
            <w:pPr>
              <w:pStyle w:val="15"/>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jc w:val="left"/>
              <w:textAlignment w:val="auto"/>
              <w:rPr>
                <w:rFonts w:hint="default" w:ascii="Times New Roman" w:hAnsi="Times New Roman" w:eastAsia="宋体" w:cs="Times New Roman"/>
                <w:bCs/>
                <w:kern w:val="2"/>
                <w:sz w:val="21"/>
                <w:szCs w:val="21"/>
                <w:highlight w:val="none"/>
                <w:lang w:val="en-US" w:eastAsia="zh-CN" w:bidi="ar-SA"/>
              </w:rPr>
            </w:pPr>
            <w:r>
              <w:rPr>
                <w:rFonts w:hint="eastAsia" w:ascii="Times New Roman" w:hAnsi="Times New Roman" w:eastAsia="宋体" w:cs="Times New Roman"/>
                <w:bCs/>
                <w:color w:val="auto"/>
                <w:sz w:val="21"/>
                <w:szCs w:val="21"/>
                <w:highlight w:val="none"/>
                <w:lang w:val="en-US" w:eastAsia="zh-CN"/>
              </w:rPr>
              <w:t>本项目喷淋塔排水、纯水制备尾水、废脱脂槽液、清洗废水、废阳极氧化槽液、废封闭槽液、阳极氧化车间保洁废水经厂区自建污水处理站（采用“调节池酸碱调节+混凝沉淀+高效气浮+超滤+精密过滤+砂滤+超滤+反渗透”的处理工艺）处理后回用于阳极氧化生产线，污水处理设施产生的浓排水桶装收集作为危废进行处理，回用水需满足《城市污水再生利用工业用水水质》(GB/T19923-2005)中标准要求；厂区不设宿舍、浴室、食堂，设水冲厕，生活污水主要为职工盥洗废水，汇同冲厕水经化粪池预处理后经市政管网排入鸦鸿桥镇污水处理厂处理，废水排放需满足《污水综合排放标准》(GB8978-1996)中标准要求，同时满足鸦鸿桥镇污水处理厂进水水质要求。</w:t>
            </w:r>
          </w:p>
        </w:tc>
        <w:tc>
          <w:tcPr>
            <w:tcW w:w="1277" w:type="dxa"/>
            <w:noWrap w:val="0"/>
            <w:vAlign w:val="center"/>
          </w:tcPr>
          <w:p w14:paraId="22728E5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Times New Roman" w:hAnsi="Times New Roman" w:eastAsia="宋体" w:cs="Times New Roman"/>
                <w:bCs/>
                <w:kern w:val="2"/>
                <w:sz w:val="21"/>
                <w:szCs w:val="21"/>
                <w:highlight w:val="none"/>
                <w:lang w:val="en-US" w:eastAsia="zh-CN" w:bidi="ar-SA"/>
              </w:rPr>
            </w:pPr>
            <w:r>
              <w:rPr>
                <w:rFonts w:hint="eastAsia" w:ascii="Times New Roman" w:hAnsi="Times New Roman" w:eastAsia="宋体" w:cs="Times New Roman"/>
                <w:bCs/>
                <w:sz w:val="21"/>
                <w:szCs w:val="21"/>
                <w:highlight w:val="none"/>
                <w:lang w:val="en-US" w:eastAsia="zh-CN"/>
              </w:rPr>
              <w:t>已落实</w:t>
            </w:r>
          </w:p>
        </w:tc>
      </w:tr>
      <w:tr w14:paraId="57A6D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64" w:hRule="atLeast"/>
          <w:jc w:val="center"/>
        </w:trPr>
        <w:tc>
          <w:tcPr>
            <w:tcW w:w="658" w:type="dxa"/>
            <w:shd w:val="clear" w:color="auto" w:fill="auto"/>
            <w:noWrap w:val="0"/>
            <w:vAlign w:val="center"/>
          </w:tcPr>
          <w:p w14:paraId="65D9D593">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hint="eastAsia" w:ascii="Times New Roman" w:hAnsi="Times New Roman" w:eastAsia="宋体" w:cs="Times New Roman"/>
                <w:color w:val="auto"/>
                <w:spacing w:val="0"/>
                <w:kern w:val="2"/>
                <w:sz w:val="21"/>
                <w:szCs w:val="21"/>
                <w:highlight w:val="none"/>
                <w:lang w:val="en-US" w:eastAsia="zh-CN" w:bidi="ar-SA"/>
              </w:rPr>
            </w:pPr>
            <w:r>
              <w:rPr>
                <w:rFonts w:hint="eastAsia" w:ascii="Times New Roman" w:hAnsi="Times New Roman" w:eastAsiaTheme="minorEastAsia"/>
                <w:color w:val="auto"/>
                <w:spacing w:val="0"/>
                <w:sz w:val="21"/>
                <w:szCs w:val="21"/>
                <w:highlight w:val="none"/>
                <w:lang w:val="en-US" w:eastAsia="zh-CN"/>
              </w:rPr>
              <w:t>噪声</w:t>
            </w:r>
          </w:p>
        </w:tc>
        <w:tc>
          <w:tcPr>
            <w:tcW w:w="3587" w:type="dxa"/>
            <w:noWrap w:val="0"/>
            <w:vAlign w:val="center"/>
          </w:tcPr>
          <w:p w14:paraId="4D1309E6">
            <w:pPr>
              <w:pStyle w:val="15"/>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jc w:val="left"/>
              <w:textAlignment w:val="auto"/>
              <w:rPr>
                <w:rFonts w:hint="default" w:ascii="Times New Roman" w:hAnsi="Times New Roman" w:eastAsia="宋体" w:cs="Times New Roman"/>
                <w:bCs/>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设备均置于室内，通过采用厂房隔声、基础减震等措施，确保厂界噪声值满足《工业企业厂界环境噪声排放标准》(GB12348-2008)中3类标准要求。</w:t>
            </w:r>
          </w:p>
        </w:tc>
        <w:tc>
          <w:tcPr>
            <w:tcW w:w="3590" w:type="dxa"/>
            <w:shd w:val="clear" w:color="auto" w:fill="auto"/>
            <w:noWrap w:val="0"/>
            <w:vAlign w:val="center"/>
          </w:tcPr>
          <w:p w14:paraId="5246DEC3">
            <w:pPr>
              <w:pStyle w:val="15"/>
              <w:keepNext w:val="0"/>
              <w:keepLines w:val="0"/>
              <w:pageBreakBefore w:val="0"/>
              <w:widowControl w:val="0"/>
              <w:kinsoku/>
              <w:wordWrap/>
              <w:overflowPunct/>
              <w:topLinePunct w:val="0"/>
              <w:autoSpaceDE/>
              <w:autoSpaceDN/>
              <w:bidi w:val="0"/>
              <w:adjustRightInd/>
              <w:snapToGrid/>
              <w:spacing w:line="340" w:lineRule="exact"/>
              <w:ind w:left="0" w:leftChars="0" w:right="0" w:rightChars="0" w:firstLine="0" w:firstLineChars="0"/>
              <w:jc w:val="left"/>
              <w:textAlignment w:val="auto"/>
              <w:rPr>
                <w:rFonts w:hint="default" w:ascii="Times New Roman" w:hAnsi="Times New Roman" w:eastAsia="宋体" w:cs="Times New Roman"/>
                <w:bCs/>
                <w:kern w:val="2"/>
                <w:sz w:val="21"/>
                <w:szCs w:val="21"/>
                <w:highlight w:val="none"/>
                <w:lang w:val="en-US" w:eastAsia="zh-CN" w:bidi="ar-SA"/>
              </w:rPr>
            </w:pPr>
            <w:r>
              <w:rPr>
                <w:rFonts w:hint="eastAsia" w:ascii="Times New Roman" w:hAnsi="Times New Roman" w:eastAsia="宋体" w:cs="Times New Roman"/>
                <w:bCs/>
                <w:color w:val="auto"/>
                <w:sz w:val="21"/>
                <w:szCs w:val="21"/>
                <w:highlight w:val="none"/>
                <w:lang w:val="en-US" w:eastAsia="zh-CN"/>
              </w:rPr>
              <w:t>设备均置于室内，通过采用厂房隔声、基础减震等措施，确保厂界噪声值满足《工业企业厂界环境噪声排放标准》(GB12348-2008)中3类标准要求。</w:t>
            </w:r>
          </w:p>
        </w:tc>
        <w:tc>
          <w:tcPr>
            <w:tcW w:w="1277" w:type="dxa"/>
            <w:noWrap w:val="0"/>
            <w:vAlign w:val="center"/>
          </w:tcPr>
          <w:p w14:paraId="3E7C89F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Times New Roman" w:hAnsi="Times New Roman" w:eastAsia="宋体" w:cs="Times New Roman"/>
                <w:bCs/>
                <w:kern w:val="2"/>
                <w:sz w:val="21"/>
                <w:szCs w:val="21"/>
                <w:highlight w:val="none"/>
                <w:lang w:val="en-US" w:eastAsia="zh-CN" w:bidi="ar-SA"/>
              </w:rPr>
            </w:pPr>
            <w:r>
              <w:rPr>
                <w:rFonts w:hint="eastAsia" w:ascii="Times New Roman" w:hAnsi="Times New Roman" w:eastAsia="宋体" w:cs="Times New Roman"/>
                <w:bCs/>
                <w:sz w:val="21"/>
                <w:szCs w:val="21"/>
                <w:highlight w:val="none"/>
                <w:lang w:val="en-US" w:eastAsia="zh-CN"/>
              </w:rPr>
              <w:t>已落实</w:t>
            </w:r>
          </w:p>
        </w:tc>
      </w:tr>
      <w:tr w14:paraId="14812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58" w:type="dxa"/>
            <w:shd w:val="clear" w:color="auto" w:fill="auto"/>
            <w:noWrap w:val="0"/>
            <w:vAlign w:val="center"/>
          </w:tcPr>
          <w:p w14:paraId="0C67A736">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hint="eastAsia" w:ascii="Times New Roman" w:hAnsi="Times New Roman" w:eastAsia="宋体" w:cs="Times New Roman"/>
                <w:color w:val="auto"/>
                <w:spacing w:val="0"/>
                <w:kern w:val="2"/>
                <w:sz w:val="21"/>
                <w:szCs w:val="21"/>
                <w:highlight w:val="none"/>
                <w:lang w:val="en-US" w:eastAsia="zh-CN" w:bidi="ar-SA"/>
              </w:rPr>
            </w:pPr>
            <w:r>
              <w:rPr>
                <w:rFonts w:hint="eastAsia" w:ascii="Times New Roman" w:hAnsi="Times New Roman" w:eastAsiaTheme="minorEastAsia"/>
                <w:color w:val="auto"/>
                <w:spacing w:val="0"/>
                <w:sz w:val="21"/>
                <w:szCs w:val="21"/>
                <w:highlight w:val="none"/>
                <w:lang w:val="en-US" w:eastAsia="zh-CN"/>
              </w:rPr>
              <w:t>固废</w:t>
            </w:r>
          </w:p>
        </w:tc>
        <w:tc>
          <w:tcPr>
            <w:tcW w:w="3587" w:type="dxa"/>
            <w:noWrap w:val="0"/>
            <w:vAlign w:val="center"/>
          </w:tcPr>
          <w:p w14:paraId="3BF37308">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default" w:ascii="Times New Roman" w:hAnsi="Times New Roman" w:eastAsia="宋体" w:cs="Times New Roman"/>
                <w:bCs/>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严格按照有关规定，对固体废物实施分类收集和处理、处置，做到资源化、减量化、无害化。一般工业固废妥善处理，最大限度回收利用，危险废物按规定暂存，定期交有相应资质的危废处理单位处理。危险废物贮存间应满足《危险废物贮存污染控制标准》(GB18597-2001)及其修改单要求。</w:t>
            </w:r>
          </w:p>
        </w:tc>
        <w:tc>
          <w:tcPr>
            <w:tcW w:w="3590" w:type="dxa"/>
            <w:shd w:val="clear" w:color="auto" w:fill="auto"/>
            <w:noWrap w:val="0"/>
            <w:vAlign w:val="center"/>
          </w:tcPr>
          <w:p w14:paraId="45DEE7A9">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default" w:ascii="Times New Roman" w:hAnsi="Times New Roman" w:eastAsia="宋体" w:cs="Times New Roman"/>
                <w:bCs/>
                <w:kern w:val="2"/>
                <w:sz w:val="21"/>
                <w:szCs w:val="21"/>
                <w:highlight w:val="none"/>
                <w:lang w:val="en-US" w:eastAsia="zh-CN" w:bidi="ar-SA"/>
              </w:rPr>
            </w:pPr>
            <w:r>
              <w:rPr>
                <w:rFonts w:hint="eastAsia" w:ascii="Times New Roman" w:hAnsi="Times New Roman" w:eastAsia="宋体" w:cs="Times New Roman"/>
                <w:bCs/>
                <w:color w:val="auto"/>
                <w:sz w:val="21"/>
                <w:szCs w:val="21"/>
                <w:highlight w:val="none"/>
                <w:lang w:val="en-US" w:eastAsia="zh-CN"/>
              </w:rPr>
              <w:t>严格按照有关规定，对固体废物实施分类收集和处理、处置，做到资源化、减量化、无害化。一般工业固废妥善处理，最大限度回收利用，危险废物按规定暂存，定期交有相应资质的危废处理单位处理。危险废物贮存间应满足《危险废物贮存污染控制标准》(GB18597-2001)及其修改单要求。</w:t>
            </w:r>
          </w:p>
        </w:tc>
        <w:tc>
          <w:tcPr>
            <w:tcW w:w="1277" w:type="dxa"/>
            <w:noWrap w:val="0"/>
            <w:vAlign w:val="center"/>
          </w:tcPr>
          <w:p w14:paraId="672D6050">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Times New Roman" w:hAnsi="Times New Roman" w:eastAsia="宋体" w:cs="Times New Roman"/>
                <w:bCs/>
                <w:kern w:val="2"/>
                <w:sz w:val="21"/>
                <w:szCs w:val="21"/>
                <w:highlight w:val="none"/>
                <w:lang w:val="en-US" w:eastAsia="zh-CN" w:bidi="ar-SA"/>
              </w:rPr>
            </w:pPr>
            <w:r>
              <w:rPr>
                <w:rFonts w:hint="eastAsia" w:ascii="Times New Roman" w:hAnsi="Times New Roman" w:eastAsia="宋体" w:cs="Times New Roman"/>
                <w:bCs/>
                <w:sz w:val="21"/>
                <w:szCs w:val="21"/>
                <w:highlight w:val="none"/>
                <w:lang w:val="en-US" w:eastAsia="zh-CN"/>
              </w:rPr>
              <w:t>已落实</w:t>
            </w:r>
          </w:p>
        </w:tc>
      </w:tr>
      <w:tr w14:paraId="3D93E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58" w:type="dxa"/>
            <w:shd w:val="clear" w:color="auto" w:fill="auto"/>
            <w:noWrap w:val="0"/>
            <w:vAlign w:val="center"/>
          </w:tcPr>
          <w:p w14:paraId="20E9F644">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hint="eastAsia" w:ascii="Times New Roman" w:hAnsi="Times New Roman" w:eastAsiaTheme="minorEastAsia"/>
                <w:color w:val="auto"/>
                <w:spacing w:val="0"/>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总量控制指标</w:t>
            </w:r>
          </w:p>
        </w:tc>
        <w:tc>
          <w:tcPr>
            <w:tcW w:w="3587" w:type="dxa"/>
            <w:noWrap w:val="0"/>
            <w:vAlign w:val="center"/>
          </w:tcPr>
          <w:p w14:paraId="1424C3E0">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eastAsia"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本项目总量控制指标分别为二氧化硫：0t/a、氮氧化物：0t/a、化学需氧量：0t/a、氨氮：0t/a。</w:t>
            </w:r>
          </w:p>
        </w:tc>
        <w:tc>
          <w:tcPr>
            <w:tcW w:w="3590" w:type="dxa"/>
            <w:shd w:val="clear" w:color="auto" w:fill="auto"/>
            <w:noWrap w:val="0"/>
            <w:vAlign w:val="center"/>
          </w:tcPr>
          <w:p w14:paraId="120FF270">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eastAsia" w:ascii="Times New Roman" w:hAnsi="Times New Roman" w:eastAsia="宋体" w:cs="Times New Roman"/>
                <w:bCs/>
                <w:color w:val="auto"/>
                <w:kern w:val="2"/>
                <w:sz w:val="21"/>
                <w:szCs w:val="21"/>
                <w:highlight w:val="none"/>
                <w:lang w:val="en-US" w:eastAsia="zh-CN" w:bidi="ar-SA"/>
              </w:rPr>
            </w:pPr>
            <w:r>
              <w:rPr>
                <w:rFonts w:hint="eastAsia" w:ascii="Times New Roman" w:hAnsi="Times New Roman" w:eastAsia="宋体" w:cs="Times New Roman"/>
                <w:bCs/>
                <w:color w:val="auto"/>
                <w:sz w:val="21"/>
                <w:szCs w:val="21"/>
                <w:highlight w:val="none"/>
                <w:lang w:val="en-US" w:eastAsia="zh-CN"/>
              </w:rPr>
              <w:t>本项目总量控制指标分别为二氧化硫：0t/a、氮氧化物：0t/a、化学需氧量：0t/a、氨氮：0t/a。</w:t>
            </w:r>
          </w:p>
        </w:tc>
        <w:tc>
          <w:tcPr>
            <w:tcW w:w="1277" w:type="dxa"/>
            <w:noWrap w:val="0"/>
            <w:vAlign w:val="center"/>
          </w:tcPr>
          <w:p w14:paraId="77A5891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Times New Roman" w:hAnsi="Times New Roman" w:eastAsia="宋体" w:cs="Times New Roman"/>
                <w:bCs/>
                <w:sz w:val="21"/>
                <w:szCs w:val="21"/>
                <w:highlight w:val="none"/>
                <w:lang w:val="en-US" w:eastAsia="zh-CN"/>
              </w:rPr>
            </w:pPr>
            <w:r>
              <w:rPr>
                <w:rFonts w:hint="eastAsia" w:ascii="Times New Roman" w:hAnsi="Times New Roman" w:eastAsia="宋体" w:cs="Times New Roman"/>
                <w:bCs/>
                <w:sz w:val="21"/>
                <w:szCs w:val="21"/>
                <w:highlight w:val="none"/>
                <w:lang w:val="en-US" w:eastAsia="zh-CN"/>
              </w:rPr>
              <w:t>已落实</w:t>
            </w:r>
          </w:p>
        </w:tc>
      </w:tr>
    </w:tbl>
    <w:p w14:paraId="2F9D8863">
      <w:pPr>
        <w:pStyle w:val="9"/>
        <w:rPr>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20082B6D">
      <w:pPr>
        <w:pStyle w:val="9"/>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jc w:val="both"/>
        <w:textAlignment w:val="auto"/>
        <w:outlineLvl w:val="0"/>
        <w:rPr>
          <w:rFonts w:hint="eastAsia" w:ascii="宋体" w:hAnsi="宋体" w:eastAsia="宋体" w:cs="宋体"/>
          <w:color w:val="000000" w:themeColor="text1"/>
          <w:sz w:val="30"/>
          <w:szCs w:val="30"/>
          <w:highlight w:val="none"/>
          <w14:textFill>
            <w14:solidFill>
              <w14:schemeClr w14:val="tx1"/>
            </w14:solidFill>
          </w14:textFill>
        </w:rPr>
      </w:pPr>
      <w:bookmarkStart w:id="23" w:name="_Toc8652"/>
      <w:bookmarkStart w:id="24" w:name="_Toc519846606"/>
      <w:r>
        <w:rPr>
          <w:rFonts w:hint="default" w:ascii="Times New Roman" w:hAnsi="Times New Roman" w:eastAsia="宋体" w:cs="Times New Roman"/>
          <w:b/>
          <w:bCs/>
          <w:color w:val="000000" w:themeColor="text1"/>
          <w:sz w:val="30"/>
          <w:szCs w:val="30"/>
          <w:highlight w:val="none"/>
          <w14:textFill>
            <w14:solidFill>
              <w14:schemeClr w14:val="tx1"/>
            </w14:solidFill>
          </w14:textFill>
        </w:rPr>
        <w:t>6</w:t>
      </w:r>
      <w:r>
        <w:rPr>
          <w:rFonts w:hint="eastAsia" w:ascii="宋体" w:hAnsi="宋体" w:eastAsia="宋体" w:cs="宋体"/>
          <w:b/>
          <w:bCs/>
          <w:color w:val="000000" w:themeColor="text1"/>
          <w:sz w:val="30"/>
          <w:szCs w:val="30"/>
          <w:highlight w:val="none"/>
          <w14:textFill>
            <w14:solidFill>
              <w14:schemeClr w14:val="tx1"/>
            </w14:solidFill>
          </w14:textFill>
        </w:rPr>
        <w:t>污染物排放标准</w:t>
      </w:r>
      <w:bookmarkEnd w:id="23"/>
      <w:bookmarkEnd w:id="24"/>
    </w:p>
    <w:p w14:paraId="3F5918C8">
      <w:pPr>
        <w:pStyle w:val="5"/>
        <w:pageBreakBefore w:val="0"/>
        <w:widowControl w:val="0"/>
        <w:kinsoku/>
        <w:wordWrap/>
        <w:overflowPunct/>
        <w:topLinePunct w:val="0"/>
        <w:autoSpaceDE/>
        <w:autoSpaceDN/>
        <w:bidi w:val="0"/>
        <w:adjustRightInd/>
        <w:snapToGrid/>
        <w:spacing w:before="0" w:after="0" w:line="480" w:lineRule="exact"/>
        <w:textAlignment w:val="auto"/>
        <w:rPr>
          <w:rFonts w:hint="eastAsia" w:ascii="Times New Roman" w:hAnsi="Times New Roman" w:cs="Times New Roman" w:eastAsiaTheme="majorEastAsia"/>
          <w:color w:val="000000" w:themeColor="text1"/>
          <w:highlight w:val="none"/>
          <w:lang w:val="en-US" w:eastAsia="zh-CN"/>
          <w14:textFill>
            <w14:solidFill>
              <w14:schemeClr w14:val="tx1"/>
            </w14:solidFill>
          </w14:textFill>
        </w:rPr>
      </w:pPr>
      <w:bookmarkStart w:id="25" w:name="_Toc30900"/>
      <w:r>
        <w:rPr>
          <w:rFonts w:hint="default"/>
          <w:highlight w:val="none"/>
        </w:rPr>
        <w:t>6.1废</w:t>
      </w:r>
      <w:r>
        <w:rPr>
          <w:rFonts w:hint="eastAsia"/>
          <w:highlight w:val="none"/>
          <w:lang w:val="en-US" w:eastAsia="zh-CN"/>
        </w:rPr>
        <w:t>气</w:t>
      </w:r>
      <w:bookmarkEnd w:id="25"/>
    </w:p>
    <w:p w14:paraId="720313BD">
      <w:pPr>
        <w:keepNext w:val="0"/>
        <w:keepLines w:val="0"/>
        <w:pageBreakBefore w:val="0"/>
        <w:widowControl w:val="0"/>
        <w:kinsoku/>
        <w:wordWrap/>
        <w:overflowPunct/>
        <w:topLinePunct w:val="0"/>
        <w:autoSpaceDE/>
        <w:autoSpaceDN/>
        <w:bidi w:val="0"/>
        <w:adjustRightInd/>
        <w:snapToGrid/>
        <w:spacing w:line="480" w:lineRule="exact"/>
        <w:ind w:firstLine="500" w:firstLineChars="200"/>
        <w:textAlignment w:val="auto"/>
        <w:rPr>
          <w:rFonts w:hint="default" w:ascii="Times New Roman" w:hAnsi="Times New Roman" w:eastAsia="宋体" w:cs="Times New Roman"/>
          <w:color w:val="auto"/>
          <w:spacing w:val="5"/>
          <w:sz w:val="24"/>
          <w:szCs w:val="24"/>
          <w:highlight w:val="none"/>
          <w:lang w:eastAsia="zh-CN"/>
        </w:rPr>
      </w:pPr>
      <w:bookmarkStart w:id="26" w:name="_Toc5865"/>
      <w:r>
        <w:rPr>
          <w:rFonts w:hint="default" w:ascii="Times New Roman" w:hAnsi="Times New Roman" w:eastAsia="宋体" w:cs="Times New Roman"/>
          <w:color w:val="auto"/>
          <w:spacing w:val="5"/>
          <w:sz w:val="24"/>
          <w:szCs w:val="24"/>
          <w:highlight w:val="none"/>
        </w:rPr>
        <w:t>抛光废气</w:t>
      </w:r>
      <w:r>
        <w:rPr>
          <w:rFonts w:hint="eastAsia" w:ascii="Times New Roman" w:hAnsi="Times New Roman" w:eastAsia="宋体" w:cs="Times New Roman"/>
          <w:color w:val="auto"/>
          <w:spacing w:val="5"/>
          <w:sz w:val="24"/>
          <w:szCs w:val="24"/>
          <w:highlight w:val="none"/>
          <w:lang w:val="en-US" w:eastAsia="zh-CN"/>
        </w:rPr>
        <w:t>执行</w:t>
      </w:r>
      <w:r>
        <w:rPr>
          <w:rFonts w:hint="default" w:ascii="Times New Roman" w:hAnsi="Times New Roman" w:eastAsia="宋体" w:cs="Times New Roman"/>
          <w:color w:val="auto"/>
          <w:spacing w:val="5"/>
          <w:sz w:val="24"/>
          <w:szCs w:val="24"/>
          <w:highlight w:val="none"/>
        </w:rPr>
        <w:t>《钢铁工业大气污染物超低排放标准》（DB13/2169-2018）表1热处理炉、拉矫、精整、抛丸、修磨、焊接机及其他生产设施颗粒物排放限值（</w:t>
      </w:r>
      <w:r>
        <w:rPr>
          <w:rFonts w:hint="eastAsia" w:ascii="Times New Roman" w:hAnsi="Times New Roman" w:eastAsia="宋体" w:cs="Times New Roman"/>
          <w:color w:val="auto"/>
          <w:spacing w:val="5"/>
          <w:sz w:val="24"/>
          <w:szCs w:val="24"/>
          <w:highlight w:val="none"/>
          <w:lang w:val="en-US" w:eastAsia="zh-CN"/>
        </w:rPr>
        <w:t>颗粒物</w:t>
      </w:r>
      <w:r>
        <w:rPr>
          <w:rFonts w:hint="default" w:ascii="Times New Roman" w:hAnsi="Times New Roman" w:eastAsia="宋体" w:cs="Times New Roman"/>
          <w:color w:val="auto"/>
          <w:spacing w:val="5"/>
          <w:sz w:val="24"/>
          <w:szCs w:val="24"/>
          <w:highlight w:val="none"/>
          <w:lang w:val="en-US" w:eastAsia="zh-CN"/>
        </w:rPr>
        <w:t>≤</w:t>
      </w:r>
      <w:r>
        <w:rPr>
          <w:rFonts w:hint="eastAsia" w:ascii="Times New Roman" w:hAnsi="Times New Roman" w:eastAsia="宋体" w:cs="Times New Roman"/>
          <w:color w:val="auto"/>
          <w:spacing w:val="5"/>
          <w:sz w:val="24"/>
          <w:szCs w:val="24"/>
          <w:highlight w:val="none"/>
          <w:lang w:val="en-US" w:eastAsia="zh-CN"/>
        </w:rPr>
        <w:t>10</w:t>
      </w:r>
      <w:r>
        <w:rPr>
          <w:rFonts w:hint="default" w:ascii="Times New Roman" w:hAnsi="Times New Roman" w:eastAsia="宋体" w:cs="Times New Roman"/>
          <w:color w:val="auto"/>
          <w:spacing w:val="5"/>
          <w:sz w:val="24"/>
          <w:szCs w:val="24"/>
          <w:highlight w:val="none"/>
        </w:rPr>
        <w:t>mg/m</w:t>
      </w:r>
      <w:r>
        <w:rPr>
          <w:rFonts w:hint="default" w:ascii="Times New Roman" w:hAnsi="Times New Roman" w:eastAsia="宋体" w:cs="Times New Roman"/>
          <w:color w:val="auto"/>
          <w:spacing w:val="5"/>
          <w:sz w:val="24"/>
          <w:szCs w:val="24"/>
          <w:highlight w:val="none"/>
          <w:vertAlign w:val="superscript"/>
        </w:rPr>
        <w:t>3</w:t>
      </w:r>
      <w:r>
        <w:rPr>
          <w:rFonts w:hint="default" w:ascii="Times New Roman" w:hAnsi="Times New Roman" w:eastAsia="宋体" w:cs="Times New Roman"/>
          <w:color w:val="auto"/>
          <w:spacing w:val="5"/>
          <w:sz w:val="24"/>
          <w:szCs w:val="24"/>
          <w:highlight w:val="none"/>
        </w:rPr>
        <w:t>）</w:t>
      </w:r>
      <w:r>
        <w:rPr>
          <w:rFonts w:hint="default" w:ascii="Times New Roman" w:hAnsi="Times New Roman" w:eastAsia="宋体" w:cs="Times New Roman"/>
          <w:color w:val="auto"/>
          <w:spacing w:val="5"/>
          <w:sz w:val="24"/>
          <w:szCs w:val="24"/>
          <w:highlight w:val="none"/>
          <w:lang w:eastAsia="zh-CN"/>
        </w:rPr>
        <w:t>；</w:t>
      </w:r>
    </w:p>
    <w:p w14:paraId="377E7CA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pacing w:val="5"/>
          <w:sz w:val="24"/>
          <w:szCs w:val="24"/>
          <w:highlight w:val="none"/>
          <w:lang w:eastAsia="zh-CN"/>
        </w:rPr>
      </w:pPr>
      <w:r>
        <w:rPr>
          <w:rFonts w:hint="default" w:ascii="Times New Roman" w:hAnsi="Times New Roman" w:eastAsia="宋体" w:cs="Times New Roman"/>
          <w:bCs/>
          <w:color w:val="auto"/>
          <w:kern w:val="0"/>
          <w:sz w:val="24"/>
          <w:szCs w:val="24"/>
          <w:highlight w:val="none"/>
          <w:lang w:val="en-US" w:eastAsia="zh-CN"/>
        </w:rPr>
        <w:t>阳极氧化废气执行《河北省十一个行业重污染天气应急减排措施制定技术指南》中金属表面处理及热处理加工行业排放限值</w:t>
      </w:r>
      <w:r>
        <w:rPr>
          <w:rFonts w:hint="default" w:ascii="Times New Roman" w:hAnsi="Times New Roman" w:eastAsia="宋体" w:cs="Times New Roman"/>
          <w:color w:val="auto"/>
          <w:spacing w:val="5"/>
          <w:sz w:val="24"/>
          <w:szCs w:val="24"/>
          <w:highlight w:val="none"/>
        </w:rPr>
        <w:t>（</w:t>
      </w:r>
      <w:r>
        <w:rPr>
          <w:rFonts w:hint="eastAsia" w:ascii="Times New Roman" w:hAnsi="Times New Roman" w:eastAsia="宋体" w:cs="Times New Roman"/>
          <w:color w:val="auto"/>
          <w:spacing w:val="5"/>
          <w:sz w:val="24"/>
          <w:szCs w:val="24"/>
          <w:highlight w:val="none"/>
          <w:lang w:val="en-US" w:eastAsia="zh-CN"/>
        </w:rPr>
        <w:t>硫酸雾</w:t>
      </w:r>
      <w:r>
        <w:rPr>
          <w:rFonts w:hint="default" w:ascii="Times New Roman" w:hAnsi="Times New Roman" w:eastAsia="宋体" w:cs="Times New Roman"/>
          <w:color w:val="auto"/>
          <w:spacing w:val="5"/>
          <w:sz w:val="24"/>
          <w:szCs w:val="24"/>
          <w:highlight w:val="none"/>
          <w:lang w:val="en-US" w:eastAsia="zh-CN"/>
        </w:rPr>
        <w:t>≤</w:t>
      </w:r>
      <w:r>
        <w:rPr>
          <w:rFonts w:hint="eastAsia" w:ascii="Times New Roman" w:hAnsi="Times New Roman" w:eastAsia="宋体" w:cs="Times New Roman"/>
          <w:color w:val="auto"/>
          <w:spacing w:val="5"/>
          <w:sz w:val="24"/>
          <w:szCs w:val="24"/>
          <w:highlight w:val="none"/>
          <w:lang w:val="en-US" w:eastAsia="zh-CN"/>
        </w:rPr>
        <w:t>10</w:t>
      </w:r>
      <w:r>
        <w:rPr>
          <w:rFonts w:hint="default" w:ascii="Times New Roman" w:hAnsi="Times New Roman" w:eastAsia="宋体" w:cs="Times New Roman"/>
          <w:color w:val="auto"/>
          <w:spacing w:val="5"/>
          <w:sz w:val="24"/>
          <w:szCs w:val="24"/>
          <w:highlight w:val="none"/>
        </w:rPr>
        <w:t>mg/m</w:t>
      </w:r>
      <w:r>
        <w:rPr>
          <w:rFonts w:hint="default" w:ascii="Times New Roman" w:hAnsi="Times New Roman" w:eastAsia="宋体" w:cs="Times New Roman"/>
          <w:color w:val="auto"/>
          <w:spacing w:val="5"/>
          <w:sz w:val="24"/>
          <w:szCs w:val="24"/>
          <w:highlight w:val="none"/>
          <w:vertAlign w:val="superscript"/>
        </w:rPr>
        <w:t>3</w:t>
      </w:r>
      <w:r>
        <w:rPr>
          <w:rFonts w:hint="default" w:ascii="Times New Roman" w:hAnsi="Times New Roman" w:eastAsia="宋体" w:cs="Times New Roman"/>
          <w:color w:val="auto"/>
          <w:spacing w:val="5"/>
          <w:sz w:val="24"/>
          <w:szCs w:val="24"/>
          <w:highlight w:val="none"/>
        </w:rPr>
        <w:t>）</w:t>
      </w:r>
      <w:r>
        <w:rPr>
          <w:rFonts w:hint="default" w:ascii="Times New Roman" w:hAnsi="Times New Roman" w:eastAsia="宋体" w:cs="Times New Roman"/>
          <w:color w:val="auto"/>
          <w:spacing w:val="5"/>
          <w:sz w:val="24"/>
          <w:szCs w:val="24"/>
          <w:highlight w:val="none"/>
          <w:lang w:eastAsia="zh-CN"/>
        </w:rPr>
        <w:t>；</w:t>
      </w:r>
    </w:p>
    <w:p w14:paraId="6F90F51B">
      <w:pPr>
        <w:keepNext w:val="0"/>
        <w:keepLines w:val="0"/>
        <w:pageBreakBefore w:val="0"/>
        <w:widowControl w:val="0"/>
        <w:kinsoku/>
        <w:wordWrap/>
        <w:overflowPunct/>
        <w:topLinePunct w:val="0"/>
        <w:autoSpaceDE/>
        <w:autoSpaceDN/>
        <w:bidi w:val="0"/>
        <w:adjustRightInd/>
        <w:snapToGrid/>
        <w:spacing w:line="480" w:lineRule="exact"/>
        <w:ind w:firstLine="500" w:firstLineChars="200"/>
        <w:textAlignment w:val="auto"/>
        <w:rPr>
          <w:rFonts w:hint="eastAsia" w:ascii="Times New Roman" w:hAnsi="Times New Roman" w:cs="Times New Roman"/>
          <w:b/>
          <w:bCs/>
          <w:kern w:val="2"/>
          <w:sz w:val="24"/>
          <w:szCs w:val="24"/>
          <w:highlight w:val="none"/>
          <w:lang w:val="en-US" w:eastAsia="zh-CN" w:bidi="ar-SA"/>
        </w:rPr>
      </w:pPr>
      <w:r>
        <w:rPr>
          <w:rFonts w:hint="default" w:ascii="Times New Roman" w:hAnsi="Times New Roman" w:eastAsia="宋体" w:cs="Times New Roman"/>
          <w:color w:val="auto"/>
          <w:spacing w:val="5"/>
          <w:sz w:val="24"/>
          <w:szCs w:val="24"/>
          <w:highlight w:val="none"/>
          <w:lang w:eastAsia="zh-CN"/>
        </w:rPr>
        <w:t>颗粒物无组织执行《钢铁工业大气污染物超低排放标准》（DB13/2169-2018）表5中颗粒物排放浓度限值标准</w:t>
      </w:r>
      <w:r>
        <w:rPr>
          <w:rFonts w:hint="eastAsia" w:ascii="Times New Roman" w:hAnsi="Times New Roman" w:eastAsia="宋体" w:cs="Times New Roman"/>
          <w:color w:val="auto"/>
          <w:spacing w:val="5"/>
          <w:sz w:val="24"/>
          <w:szCs w:val="24"/>
          <w:highlight w:val="none"/>
          <w:lang w:eastAsia="zh-CN"/>
        </w:rPr>
        <w:t>（</w:t>
      </w:r>
      <w:r>
        <w:rPr>
          <w:rFonts w:hint="eastAsia" w:ascii="Times New Roman" w:hAnsi="Times New Roman" w:eastAsia="宋体" w:cs="Times New Roman"/>
          <w:color w:val="auto"/>
          <w:spacing w:val="5"/>
          <w:sz w:val="24"/>
          <w:szCs w:val="24"/>
          <w:highlight w:val="none"/>
          <w:lang w:val="en-US" w:eastAsia="zh-CN"/>
        </w:rPr>
        <w:t>1.0</w:t>
      </w:r>
      <w:r>
        <w:rPr>
          <w:rFonts w:hint="default" w:ascii="Times New Roman" w:hAnsi="Times New Roman" w:eastAsia="宋体" w:cs="Times New Roman"/>
          <w:color w:val="auto"/>
          <w:spacing w:val="5"/>
          <w:sz w:val="24"/>
          <w:szCs w:val="24"/>
          <w:highlight w:val="none"/>
        </w:rPr>
        <w:t>mg/m</w:t>
      </w:r>
      <w:r>
        <w:rPr>
          <w:rFonts w:hint="default" w:ascii="Times New Roman" w:hAnsi="Times New Roman" w:eastAsia="宋体" w:cs="Times New Roman"/>
          <w:color w:val="auto"/>
          <w:spacing w:val="5"/>
          <w:sz w:val="24"/>
          <w:szCs w:val="24"/>
          <w:highlight w:val="none"/>
          <w:vertAlign w:val="superscript"/>
        </w:rPr>
        <w:t>3</w:t>
      </w:r>
      <w:r>
        <w:rPr>
          <w:rFonts w:hint="eastAsia" w:ascii="Times New Roman" w:hAnsi="Times New Roman" w:eastAsia="宋体" w:cs="Times New Roman"/>
          <w:color w:val="auto"/>
          <w:spacing w:val="5"/>
          <w:sz w:val="24"/>
          <w:szCs w:val="24"/>
          <w:highlight w:val="none"/>
          <w:lang w:eastAsia="zh-CN"/>
        </w:rPr>
        <w:t>）</w:t>
      </w:r>
      <w:r>
        <w:rPr>
          <w:rFonts w:hint="default" w:ascii="Times New Roman" w:hAnsi="Times New Roman" w:eastAsia="宋体" w:cs="Times New Roman"/>
          <w:color w:val="auto"/>
          <w:spacing w:val="5"/>
          <w:sz w:val="24"/>
          <w:szCs w:val="24"/>
          <w:highlight w:val="none"/>
          <w:lang w:eastAsia="zh-CN"/>
        </w:rPr>
        <w:t>。硫酸雾无组织执行《大气污染物综合排放标准》（GB16297-1996）表2无组织排放浓度监控限值</w:t>
      </w:r>
      <w:r>
        <w:rPr>
          <w:rFonts w:hint="eastAsia" w:ascii="Times New Roman" w:hAnsi="Times New Roman" w:eastAsia="宋体" w:cs="Times New Roman"/>
          <w:color w:val="auto"/>
          <w:spacing w:val="5"/>
          <w:sz w:val="24"/>
          <w:szCs w:val="24"/>
          <w:highlight w:val="none"/>
          <w:lang w:eastAsia="zh-CN"/>
        </w:rPr>
        <w:t>（</w:t>
      </w:r>
      <w:r>
        <w:rPr>
          <w:rFonts w:hint="eastAsia" w:ascii="Times New Roman" w:hAnsi="Times New Roman" w:eastAsia="宋体" w:cs="Times New Roman"/>
          <w:color w:val="auto"/>
          <w:spacing w:val="5"/>
          <w:sz w:val="24"/>
          <w:szCs w:val="24"/>
          <w:highlight w:val="none"/>
          <w:lang w:val="en-US" w:eastAsia="zh-CN"/>
        </w:rPr>
        <w:t>1.2</w:t>
      </w:r>
      <w:r>
        <w:rPr>
          <w:rFonts w:hint="default" w:ascii="Times New Roman" w:hAnsi="Times New Roman" w:eastAsia="宋体" w:cs="Times New Roman"/>
          <w:color w:val="auto"/>
          <w:spacing w:val="5"/>
          <w:sz w:val="24"/>
          <w:szCs w:val="24"/>
          <w:highlight w:val="none"/>
        </w:rPr>
        <w:t>mg/m</w:t>
      </w:r>
      <w:r>
        <w:rPr>
          <w:rFonts w:hint="default" w:ascii="Times New Roman" w:hAnsi="Times New Roman" w:eastAsia="宋体" w:cs="Times New Roman"/>
          <w:color w:val="auto"/>
          <w:spacing w:val="5"/>
          <w:sz w:val="24"/>
          <w:szCs w:val="24"/>
          <w:highlight w:val="none"/>
          <w:vertAlign w:val="superscript"/>
        </w:rPr>
        <w:t>3</w:t>
      </w:r>
      <w:r>
        <w:rPr>
          <w:rFonts w:hint="eastAsia" w:ascii="Times New Roman" w:hAnsi="Times New Roman" w:eastAsia="宋体" w:cs="Times New Roman"/>
          <w:color w:val="auto"/>
          <w:spacing w:val="5"/>
          <w:sz w:val="24"/>
          <w:szCs w:val="24"/>
          <w:highlight w:val="none"/>
          <w:lang w:eastAsia="zh-CN"/>
        </w:rPr>
        <w:t>）</w:t>
      </w:r>
      <w:r>
        <w:rPr>
          <w:rFonts w:hint="default" w:ascii="Times New Roman" w:hAnsi="Times New Roman" w:eastAsia="宋体" w:cs="Times New Roman"/>
          <w:color w:val="auto"/>
          <w:spacing w:val="5"/>
          <w:sz w:val="24"/>
          <w:szCs w:val="24"/>
          <w:highlight w:val="none"/>
          <w:lang w:eastAsia="zh-CN"/>
        </w:rPr>
        <w:t>。</w:t>
      </w:r>
    </w:p>
    <w:p w14:paraId="5C4EA715">
      <w:pPr>
        <w:pStyle w:val="5"/>
        <w:pageBreakBefore w:val="0"/>
        <w:widowControl w:val="0"/>
        <w:kinsoku/>
        <w:wordWrap/>
        <w:overflowPunct/>
        <w:topLinePunct w:val="0"/>
        <w:autoSpaceDE/>
        <w:autoSpaceDN/>
        <w:bidi w:val="0"/>
        <w:adjustRightInd/>
        <w:snapToGrid/>
        <w:spacing w:before="0" w:after="0" w:line="480" w:lineRule="exact"/>
        <w:textAlignment w:val="auto"/>
        <w:rPr>
          <w:rFonts w:hint="default" w:ascii="Times New Roman" w:hAnsi="Times New Roman" w:eastAsia="宋体" w:cs="Times New Roman"/>
          <w:color w:val="000000" w:themeColor="text1"/>
          <w:highlight w:val="none"/>
          <w14:textFill>
            <w14:solidFill>
              <w14:schemeClr w14:val="tx1"/>
            </w14:solidFill>
          </w14:textFill>
        </w:rPr>
      </w:pPr>
      <w:r>
        <w:rPr>
          <w:rFonts w:hint="default"/>
          <w:highlight w:val="none"/>
        </w:rPr>
        <w:t>6.</w:t>
      </w:r>
      <w:r>
        <w:rPr>
          <w:rFonts w:hint="eastAsia"/>
          <w:highlight w:val="none"/>
          <w:lang w:val="en-US" w:eastAsia="zh-CN"/>
        </w:rPr>
        <w:t>2</w:t>
      </w:r>
      <w:r>
        <w:rPr>
          <w:rFonts w:hint="default"/>
          <w:highlight w:val="none"/>
        </w:rPr>
        <w:t>废水</w:t>
      </w:r>
      <w:bookmarkEnd w:id="26"/>
    </w:p>
    <w:p w14:paraId="626E137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cs="Times New Roman"/>
          <w:b/>
          <w:bCs/>
          <w:kern w:val="2"/>
          <w:sz w:val="24"/>
          <w:szCs w:val="24"/>
          <w:highlight w:val="none"/>
          <w:lang w:val="en-US" w:eastAsia="zh-CN" w:bidi="ar-SA"/>
        </w:rPr>
      </w:pPr>
      <w:bookmarkStart w:id="27" w:name="_Toc19636"/>
      <w:r>
        <w:rPr>
          <w:rFonts w:hint="eastAsia" w:ascii="Times New Roman" w:hAnsi="Times New Roman" w:eastAsia="宋体" w:cs="Times New Roman"/>
          <w:bCs/>
          <w:color w:val="auto"/>
          <w:kern w:val="0"/>
          <w:sz w:val="24"/>
          <w:szCs w:val="24"/>
          <w:highlight w:val="none"/>
          <w:lang w:val="en-US" w:eastAsia="zh-CN"/>
        </w:rPr>
        <w:t>废水执行</w:t>
      </w:r>
      <w:r>
        <w:rPr>
          <w:rFonts w:hint="default" w:ascii="Times New Roman" w:hAnsi="Times New Roman" w:eastAsia="宋体" w:cs="Times New Roman"/>
          <w:bCs/>
          <w:color w:val="auto"/>
          <w:kern w:val="0"/>
          <w:sz w:val="24"/>
          <w:szCs w:val="24"/>
          <w:highlight w:val="none"/>
          <w:lang w:val="en-US" w:eastAsia="zh-CN"/>
        </w:rPr>
        <w:t>《城市污水再生利用 工业用水水质》（GB/T19923-20</w:t>
      </w:r>
      <w:r>
        <w:rPr>
          <w:rFonts w:hint="eastAsia" w:ascii="Times New Roman" w:hAnsi="Times New Roman" w:eastAsia="宋体" w:cs="Times New Roman"/>
          <w:bCs/>
          <w:color w:val="auto"/>
          <w:kern w:val="0"/>
          <w:sz w:val="24"/>
          <w:szCs w:val="24"/>
          <w:highlight w:val="none"/>
          <w:lang w:val="en-US" w:eastAsia="zh-CN"/>
        </w:rPr>
        <w:t>24</w:t>
      </w:r>
      <w:r>
        <w:rPr>
          <w:rFonts w:hint="default" w:ascii="Times New Roman" w:hAnsi="Times New Roman" w:eastAsia="宋体" w:cs="Times New Roman"/>
          <w:bCs/>
          <w:color w:val="auto"/>
          <w:kern w:val="0"/>
          <w:sz w:val="24"/>
          <w:szCs w:val="24"/>
          <w:highlight w:val="none"/>
          <w:lang w:val="en-US" w:eastAsia="zh-CN"/>
        </w:rPr>
        <w:t>）表1中工艺</w:t>
      </w:r>
      <w:r>
        <w:rPr>
          <w:rFonts w:hint="eastAsia" w:ascii="Times New Roman" w:hAnsi="Times New Roman" w:eastAsia="宋体" w:cs="Times New Roman"/>
          <w:bCs/>
          <w:color w:val="auto"/>
          <w:kern w:val="0"/>
          <w:sz w:val="24"/>
          <w:szCs w:val="24"/>
          <w:highlight w:val="none"/>
          <w:lang w:val="en-US" w:eastAsia="zh-CN"/>
        </w:rPr>
        <w:t>用水、</w:t>
      </w:r>
      <w:r>
        <w:rPr>
          <w:rFonts w:hint="default" w:ascii="Times New Roman" w:hAnsi="Times New Roman" w:eastAsia="宋体" w:cs="Times New Roman"/>
          <w:bCs/>
          <w:color w:val="auto"/>
          <w:kern w:val="0"/>
          <w:sz w:val="24"/>
          <w:szCs w:val="24"/>
          <w:highlight w:val="none"/>
          <w:lang w:val="en-US" w:eastAsia="zh-CN"/>
        </w:rPr>
        <w:t>产品用水水质标准</w:t>
      </w:r>
      <w:r>
        <w:rPr>
          <w:rFonts w:hint="eastAsia" w:ascii="Times New Roman" w:hAnsi="Times New Roman" w:eastAsia="宋体" w:cs="Times New Roman"/>
          <w:bCs/>
          <w:color w:val="auto"/>
          <w:kern w:val="0"/>
          <w:sz w:val="24"/>
          <w:szCs w:val="24"/>
          <w:highlight w:val="none"/>
          <w:lang w:val="en-US" w:eastAsia="zh-CN"/>
        </w:rPr>
        <w:t>以及表2标准。</w:t>
      </w:r>
    </w:p>
    <w:tbl>
      <w:tblPr>
        <w:tblStyle w:val="32"/>
        <w:tblW w:w="500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254"/>
        <w:gridCol w:w="6069"/>
      </w:tblGrid>
      <w:tr w14:paraId="3AF46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4" w:type="pct"/>
            <w:noWrap w:val="0"/>
            <w:vAlign w:val="center"/>
          </w:tcPr>
          <w:p w14:paraId="440447D4">
            <w:pPr>
              <w:widowControl w:val="0"/>
              <w:spacing w:line="240" w:lineRule="auto"/>
              <w:ind w:left="42" w:leftChars="20" w:right="42" w:rightChars="20"/>
              <w:jc w:val="center"/>
              <w:rPr>
                <w:rFonts w:hint="default" w:ascii="Times New Roman" w:hAnsi="Times New Roman" w:eastAsia="宋体" w:cs="Times New Roman"/>
                <w:color w:val="000000"/>
                <w:kern w:val="0"/>
                <w:szCs w:val="21"/>
                <w:highlight w:val="none"/>
                <w:lang w:val="en-US" w:eastAsia="zh-CN"/>
              </w:rPr>
            </w:pPr>
            <w:r>
              <w:rPr>
                <w:rFonts w:hint="default" w:ascii="Times New Roman" w:hAnsi="Times New Roman" w:eastAsia="宋体" w:cs="Times New Roman"/>
                <w:color w:val="000000"/>
                <w:kern w:val="0"/>
                <w:szCs w:val="21"/>
                <w:highlight w:val="none"/>
                <w:lang w:val="en-US" w:eastAsia="zh-CN"/>
              </w:rPr>
              <w:t>pH</w:t>
            </w:r>
          </w:p>
        </w:tc>
        <w:tc>
          <w:tcPr>
            <w:tcW w:w="3645" w:type="pct"/>
            <w:noWrap w:val="0"/>
            <w:vAlign w:val="center"/>
          </w:tcPr>
          <w:p w14:paraId="534BB3E3">
            <w:pPr>
              <w:widowControl w:val="0"/>
              <w:adjustRightInd w:val="0"/>
              <w:snapToGrid w:val="0"/>
              <w:spacing w:line="240" w:lineRule="auto"/>
              <w:ind w:left="42" w:leftChars="20" w:right="42" w:rightChars="20"/>
              <w:jc w:val="center"/>
              <w:rPr>
                <w:rFonts w:hint="default" w:ascii="Times New Roman" w:hAnsi="Times New Roman" w:eastAsia="宋体" w:cs="Times New Roman"/>
                <w:color w:val="000000"/>
                <w:szCs w:val="21"/>
                <w:highlight w:val="none"/>
                <w:lang w:val="en-US"/>
              </w:rPr>
            </w:pPr>
            <w:r>
              <w:rPr>
                <w:rFonts w:hint="default" w:ascii="Times New Roman" w:hAnsi="Times New Roman" w:eastAsia="宋体" w:cs="Times New Roman"/>
                <w:color w:val="000000"/>
                <w:szCs w:val="21"/>
                <w:highlight w:val="none"/>
              </w:rPr>
              <w:t>6</w:t>
            </w:r>
            <w:r>
              <w:rPr>
                <w:rFonts w:hint="default" w:ascii="Times New Roman" w:hAnsi="Times New Roman" w:eastAsia="宋体" w:cs="Times New Roman"/>
                <w:color w:val="000000"/>
                <w:szCs w:val="21"/>
                <w:highlight w:val="none"/>
                <w:lang w:val="en-US" w:eastAsia="zh-CN"/>
              </w:rPr>
              <w:t>-9</w:t>
            </w:r>
          </w:p>
        </w:tc>
      </w:tr>
      <w:tr w14:paraId="1C3EB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4" w:type="pct"/>
            <w:noWrap w:val="0"/>
            <w:vAlign w:val="center"/>
          </w:tcPr>
          <w:p w14:paraId="434E23EF">
            <w:pPr>
              <w:widowControl w:val="0"/>
              <w:spacing w:line="240" w:lineRule="auto"/>
              <w:ind w:left="42" w:leftChars="20" w:right="42" w:rightChars="20"/>
              <w:jc w:val="center"/>
              <w:rPr>
                <w:rFonts w:hint="default" w:ascii="Times New Roman" w:hAnsi="Times New Roman" w:eastAsia="宋体" w:cs="Times New Roman"/>
                <w:color w:val="000000"/>
                <w:kern w:val="0"/>
                <w:szCs w:val="21"/>
                <w:highlight w:val="none"/>
              </w:rPr>
            </w:pPr>
            <w:r>
              <w:rPr>
                <w:rFonts w:hint="default" w:ascii="Times New Roman" w:hAnsi="Times New Roman" w:eastAsia="宋体" w:cs="Times New Roman"/>
                <w:color w:val="000000"/>
                <w:kern w:val="0"/>
                <w:szCs w:val="21"/>
                <w:highlight w:val="none"/>
              </w:rPr>
              <w:t>COD</w:t>
            </w:r>
          </w:p>
        </w:tc>
        <w:tc>
          <w:tcPr>
            <w:tcW w:w="3645" w:type="pct"/>
            <w:noWrap w:val="0"/>
            <w:vAlign w:val="center"/>
          </w:tcPr>
          <w:p w14:paraId="7B3EE73C">
            <w:pPr>
              <w:widowControl w:val="0"/>
              <w:adjustRightInd w:val="0"/>
              <w:snapToGrid w:val="0"/>
              <w:spacing w:line="240" w:lineRule="auto"/>
              <w:ind w:left="42" w:leftChars="20" w:right="42" w:rightChars="20"/>
              <w:jc w:val="center"/>
              <w:rPr>
                <w:rFonts w:hint="default" w:ascii="Times New Roman" w:hAnsi="Times New Roman" w:eastAsia="宋体" w:cs="Times New Roman"/>
                <w:color w:val="000000"/>
                <w:szCs w:val="21"/>
                <w:highlight w:val="none"/>
              </w:rPr>
            </w:pPr>
            <w:r>
              <w:rPr>
                <w:rFonts w:hint="default" w:ascii="Times New Roman" w:hAnsi="Times New Roman" w:eastAsia="宋体" w:cs="Times New Roman"/>
                <w:color w:val="000000"/>
                <w:highlight w:val="none"/>
              </w:rPr>
              <w:t>≤</w:t>
            </w:r>
            <w:r>
              <w:rPr>
                <w:rFonts w:hint="default" w:ascii="Times New Roman" w:hAnsi="Times New Roman" w:eastAsia="宋体" w:cs="Times New Roman"/>
                <w:color w:val="000000"/>
                <w:highlight w:val="none"/>
                <w:lang w:val="en-US" w:eastAsia="zh-CN"/>
              </w:rPr>
              <w:t>50</w:t>
            </w:r>
            <w:r>
              <w:rPr>
                <w:rFonts w:hint="default" w:ascii="Times New Roman" w:hAnsi="Times New Roman" w:eastAsia="宋体" w:cs="Times New Roman"/>
                <w:color w:val="000000"/>
                <w:szCs w:val="21"/>
                <w:highlight w:val="none"/>
              </w:rPr>
              <w:t>mg/L</w:t>
            </w:r>
          </w:p>
        </w:tc>
      </w:tr>
      <w:tr w14:paraId="6A5E9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4" w:type="pct"/>
            <w:noWrap w:val="0"/>
            <w:vAlign w:val="center"/>
          </w:tcPr>
          <w:p w14:paraId="341CD2C5">
            <w:pPr>
              <w:widowControl w:val="0"/>
              <w:spacing w:line="240" w:lineRule="auto"/>
              <w:ind w:left="42" w:leftChars="20" w:right="42" w:rightChars="20"/>
              <w:jc w:val="center"/>
              <w:rPr>
                <w:rFonts w:hint="default" w:ascii="Times New Roman" w:hAnsi="Times New Roman" w:eastAsia="宋体" w:cs="Times New Roman"/>
                <w:color w:val="000000"/>
                <w:kern w:val="0"/>
                <w:szCs w:val="21"/>
                <w:highlight w:val="none"/>
              </w:rPr>
            </w:pPr>
            <w:r>
              <w:rPr>
                <w:rFonts w:hint="default" w:ascii="Times New Roman" w:hAnsi="Times New Roman" w:eastAsia="宋体" w:cs="Times New Roman"/>
                <w:color w:val="000000"/>
                <w:kern w:val="0"/>
                <w:szCs w:val="21"/>
                <w:highlight w:val="none"/>
              </w:rPr>
              <w:t>BOD</w:t>
            </w:r>
            <w:r>
              <w:rPr>
                <w:rFonts w:hint="default" w:ascii="Times New Roman" w:hAnsi="Times New Roman" w:eastAsia="宋体" w:cs="Times New Roman"/>
                <w:color w:val="000000"/>
                <w:kern w:val="0"/>
                <w:szCs w:val="21"/>
                <w:highlight w:val="none"/>
                <w:vertAlign w:val="subscript"/>
              </w:rPr>
              <w:t>5</w:t>
            </w:r>
          </w:p>
        </w:tc>
        <w:tc>
          <w:tcPr>
            <w:tcW w:w="3645" w:type="pct"/>
            <w:noWrap w:val="0"/>
            <w:vAlign w:val="center"/>
          </w:tcPr>
          <w:p w14:paraId="133CC8B5">
            <w:pPr>
              <w:widowControl w:val="0"/>
              <w:adjustRightInd w:val="0"/>
              <w:snapToGrid w:val="0"/>
              <w:spacing w:line="240" w:lineRule="auto"/>
              <w:ind w:left="42" w:leftChars="20" w:right="42" w:rightChars="20"/>
              <w:jc w:val="center"/>
              <w:rPr>
                <w:rFonts w:hint="default" w:ascii="Times New Roman" w:hAnsi="Times New Roman" w:eastAsia="宋体" w:cs="Times New Roman"/>
                <w:color w:val="000000"/>
                <w:szCs w:val="21"/>
                <w:highlight w:val="none"/>
              </w:rPr>
            </w:pPr>
            <w:r>
              <w:rPr>
                <w:rFonts w:hint="default" w:ascii="Times New Roman" w:hAnsi="Times New Roman" w:eastAsia="宋体" w:cs="Times New Roman"/>
                <w:color w:val="000000"/>
                <w:highlight w:val="none"/>
              </w:rPr>
              <w:t>≤</w:t>
            </w:r>
            <w:r>
              <w:rPr>
                <w:rFonts w:hint="default" w:ascii="Times New Roman" w:hAnsi="Times New Roman" w:eastAsia="宋体" w:cs="Times New Roman"/>
                <w:color w:val="000000"/>
                <w:szCs w:val="21"/>
                <w:highlight w:val="none"/>
                <w:lang w:val="en-US" w:eastAsia="zh-CN"/>
              </w:rPr>
              <w:t>10</w:t>
            </w:r>
            <w:r>
              <w:rPr>
                <w:rFonts w:hint="default" w:ascii="Times New Roman" w:hAnsi="Times New Roman" w:eastAsia="宋体" w:cs="Times New Roman"/>
                <w:color w:val="000000"/>
                <w:szCs w:val="21"/>
                <w:highlight w:val="none"/>
              </w:rPr>
              <w:t>mg/L</w:t>
            </w:r>
          </w:p>
        </w:tc>
      </w:tr>
      <w:tr w14:paraId="34C29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4" w:type="pct"/>
            <w:noWrap w:val="0"/>
            <w:vAlign w:val="center"/>
          </w:tcPr>
          <w:p w14:paraId="7E25FAA8">
            <w:pPr>
              <w:widowControl w:val="0"/>
              <w:spacing w:line="240" w:lineRule="auto"/>
              <w:ind w:left="42" w:leftChars="20" w:right="42" w:rightChars="20"/>
              <w:jc w:val="center"/>
              <w:rPr>
                <w:rFonts w:hint="default" w:ascii="Times New Roman" w:hAnsi="Times New Roman" w:eastAsia="宋体" w:cs="Times New Roman"/>
                <w:color w:val="000000"/>
                <w:kern w:val="0"/>
                <w:szCs w:val="21"/>
                <w:highlight w:val="none"/>
              </w:rPr>
            </w:pPr>
            <w:r>
              <w:rPr>
                <w:rFonts w:hint="default" w:ascii="Times New Roman" w:hAnsi="Times New Roman" w:eastAsia="宋体" w:cs="Times New Roman"/>
                <w:color w:val="000000"/>
                <w:kern w:val="0"/>
                <w:szCs w:val="21"/>
                <w:highlight w:val="none"/>
              </w:rPr>
              <w:t>氨氮</w:t>
            </w:r>
          </w:p>
        </w:tc>
        <w:tc>
          <w:tcPr>
            <w:tcW w:w="3645" w:type="pct"/>
            <w:noWrap w:val="0"/>
            <w:vAlign w:val="center"/>
          </w:tcPr>
          <w:p w14:paraId="672033D6">
            <w:pPr>
              <w:widowControl w:val="0"/>
              <w:adjustRightInd w:val="0"/>
              <w:snapToGrid w:val="0"/>
              <w:spacing w:line="240" w:lineRule="auto"/>
              <w:ind w:left="42" w:leftChars="20" w:right="42" w:rightChars="20"/>
              <w:jc w:val="center"/>
              <w:rPr>
                <w:rFonts w:hint="default" w:ascii="Times New Roman" w:hAnsi="Times New Roman" w:eastAsia="宋体" w:cs="Times New Roman"/>
                <w:color w:val="000000"/>
                <w:szCs w:val="21"/>
                <w:highlight w:val="none"/>
              </w:rPr>
            </w:pPr>
            <w:r>
              <w:rPr>
                <w:rFonts w:hint="default" w:ascii="Times New Roman" w:hAnsi="Times New Roman" w:eastAsia="宋体" w:cs="Times New Roman"/>
                <w:color w:val="000000"/>
                <w:highlight w:val="none"/>
              </w:rPr>
              <w:t>≤</w:t>
            </w:r>
            <w:r>
              <w:rPr>
                <w:rFonts w:hint="default" w:ascii="Times New Roman" w:hAnsi="Times New Roman" w:eastAsia="宋体" w:cs="Times New Roman"/>
                <w:color w:val="000000"/>
                <w:szCs w:val="21"/>
                <w:highlight w:val="none"/>
                <w:lang w:val="en-US" w:eastAsia="zh-CN"/>
              </w:rPr>
              <w:t>5</w:t>
            </w:r>
            <w:r>
              <w:rPr>
                <w:rFonts w:hint="default" w:ascii="Times New Roman" w:hAnsi="Times New Roman" w:eastAsia="宋体" w:cs="Times New Roman"/>
                <w:color w:val="000000"/>
                <w:szCs w:val="21"/>
                <w:highlight w:val="none"/>
              </w:rPr>
              <w:t>mg/L</w:t>
            </w:r>
          </w:p>
        </w:tc>
      </w:tr>
      <w:tr w14:paraId="77798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4" w:type="pct"/>
            <w:noWrap w:val="0"/>
            <w:vAlign w:val="center"/>
          </w:tcPr>
          <w:p w14:paraId="632361FB">
            <w:pPr>
              <w:widowControl w:val="0"/>
              <w:spacing w:line="240" w:lineRule="auto"/>
              <w:ind w:left="42" w:leftChars="20" w:right="42" w:rightChars="20"/>
              <w:jc w:val="center"/>
              <w:rPr>
                <w:rFonts w:hint="default" w:ascii="Times New Roman" w:hAnsi="Times New Roman" w:eastAsia="宋体" w:cs="Times New Roman"/>
                <w:color w:val="000000"/>
                <w:kern w:val="0"/>
                <w:szCs w:val="21"/>
                <w:highlight w:val="none"/>
                <w:lang w:val="en-US" w:eastAsia="zh-CN"/>
              </w:rPr>
            </w:pPr>
            <w:r>
              <w:rPr>
                <w:rFonts w:hint="default" w:ascii="Times New Roman" w:hAnsi="Times New Roman" w:eastAsia="宋体" w:cs="Times New Roman"/>
                <w:color w:val="000000"/>
                <w:kern w:val="0"/>
                <w:szCs w:val="21"/>
                <w:highlight w:val="none"/>
                <w:lang w:val="en-US" w:eastAsia="zh-CN"/>
              </w:rPr>
              <w:t>石油类</w:t>
            </w:r>
          </w:p>
        </w:tc>
        <w:tc>
          <w:tcPr>
            <w:tcW w:w="3645" w:type="pct"/>
            <w:noWrap w:val="0"/>
            <w:vAlign w:val="center"/>
          </w:tcPr>
          <w:p w14:paraId="5DB43433">
            <w:pPr>
              <w:widowControl w:val="0"/>
              <w:adjustRightInd w:val="0"/>
              <w:snapToGrid w:val="0"/>
              <w:spacing w:line="240" w:lineRule="auto"/>
              <w:ind w:left="42" w:leftChars="20" w:right="42" w:rightChars="20"/>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w:t>
            </w:r>
            <w:r>
              <w:rPr>
                <w:rFonts w:hint="default" w:ascii="Times New Roman" w:hAnsi="Times New Roman" w:eastAsia="宋体" w:cs="Times New Roman"/>
                <w:color w:val="000000"/>
                <w:szCs w:val="21"/>
                <w:highlight w:val="none"/>
                <w:lang w:val="en-US" w:eastAsia="zh-CN"/>
              </w:rPr>
              <w:t>1</w:t>
            </w:r>
            <w:r>
              <w:rPr>
                <w:rFonts w:hint="default" w:ascii="Times New Roman" w:hAnsi="Times New Roman" w:eastAsia="宋体" w:cs="Times New Roman"/>
                <w:color w:val="000000"/>
                <w:szCs w:val="21"/>
                <w:highlight w:val="none"/>
              </w:rPr>
              <w:t>mg/L</w:t>
            </w:r>
          </w:p>
        </w:tc>
      </w:tr>
      <w:tr w14:paraId="368C5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4" w:type="pct"/>
            <w:noWrap w:val="0"/>
            <w:vAlign w:val="center"/>
          </w:tcPr>
          <w:p w14:paraId="55EDFA8B">
            <w:pPr>
              <w:widowControl w:val="0"/>
              <w:spacing w:line="240" w:lineRule="auto"/>
              <w:ind w:left="42" w:leftChars="20" w:right="42" w:rightChars="20"/>
              <w:jc w:val="center"/>
              <w:rPr>
                <w:rFonts w:hint="default" w:ascii="Times New Roman" w:hAnsi="Times New Roman" w:eastAsia="宋体" w:cs="Times New Roman"/>
                <w:color w:val="000000"/>
                <w:kern w:val="0"/>
                <w:szCs w:val="21"/>
                <w:highlight w:val="none"/>
                <w:lang w:val="en-US" w:eastAsia="zh-CN"/>
              </w:rPr>
            </w:pPr>
            <w:r>
              <w:rPr>
                <w:rFonts w:hint="default" w:ascii="Times New Roman" w:hAnsi="Times New Roman" w:eastAsia="宋体" w:cs="Times New Roman"/>
                <w:color w:val="000000"/>
                <w:kern w:val="0"/>
                <w:szCs w:val="21"/>
                <w:highlight w:val="none"/>
                <w:lang w:val="en-US" w:eastAsia="zh-CN"/>
              </w:rPr>
              <w:t>LAS</w:t>
            </w:r>
          </w:p>
        </w:tc>
        <w:tc>
          <w:tcPr>
            <w:tcW w:w="3645" w:type="pct"/>
            <w:noWrap w:val="0"/>
            <w:vAlign w:val="center"/>
          </w:tcPr>
          <w:p w14:paraId="2573E91A">
            <w:pPr>
              <w:widowControl w:val="0"/>
              <w:adjustRightInd w:val="0"/>
              <w:snapToGrid w:val="0"/>
              <w:spacing w:line="240" w:lineRule="auto"/>
              <w:ind w:left="42" w:leftChars="20" w:right="42" w:rightChars="20"/>
              <w:jc w:val="center"/>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w:t>
            </w:r>
            <w:r>
              <w:rPr>
                <w:rFonts w:hint="default" w:ascii="Times New Roman" w:hAnsi="Times New Roman" w:eastAsia="宋体" w:cs="Times New Roman"/>
                <w:color w:val="000000"/>
                <w:szCs w:val="21"/>
                <w:highlight w:val="none"/>
                <w:lang w:val="en-US" w:eastAsia="zh-CN"/>
              </w:rPr>
              <w:t>0.5</w:t>
            </w:r>
            <w:r>
              <w:rPr>
                <w:rFonts w:hint="default" w:ascii="Times New Roman" w:hAnsi="Times New Roman" w:eastAsia="宋体" w:cs="Times New Roman"/>
                <w:color w:val="000000"/>
                <w:szCs w:val="21"/>
                <w:highlight w:val="none"/>
              </w:rPr>
              <w:t>mg/L</w:t>
            </w:r>
          </w:p>
        </w:tc>
      </w:tr>
      <w:tr w14:paraId="46D7A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4" w:type="pct"/>
            <w:noWrap w:val="0"/>
            <w:vAlign w:val="center"/>
          </w:tcPr>
          <w:p w14:paraId="1D10B882">
            <w:pPr>
              <w:widowControl w:val="0"/>
              <w:spacing w:line="240" w:lineRule="auto"/>
              <w:ind w:left="42" w:leftChars="20" w:right="42" w:rightChars="20"/>
              <w:jc w:val="center"/>
              <w:rPr>
                <w:rFonts w:hint="default" w:ascii="Times New Roman" w:hAnsi="Times New Roman" w:eastAsia="宋体" w:cs="Times New Roman"/>
                <w:color w:val="000000"/>
                <w:kern w:val="0"/>
                <w:szCs w:val="21"/>
                <w:highlight w:val="none"/>
                <w:lang w:val="en-US" w:eastAsia="zh-CN"/>
              </w:rPr>
            </w:pPr>
            <w:r>
              <w:rPr>
                <w:rFonts w:hint="default" w:ascii="Times New Roman" w:hAnsi="Times New Roman" w:eastAsia="宋体" w:cs="Times New Roman"/>
                <w:color w:val="000000"/>
                <w:kern w:val="0"/>
                <w:szCs w:val="21"/>
                <w:highlight w:val="none"/>
                <w:lang w:val="en-US" w:eastAsia="zh-CN"/>
              </w:rPr>
              <w:t>氟化物</w:t>
            </w:r>
          </w:p>
        </w:tc>
        <w:tc>
          <w:tcPr>
            <w:tcW w:w="3645" w:type="pct"/>
            <w:noWrap w:val="0"/>
            <w:vAlign w:val="center"/>
          </w:tcPr>
          <w:p w14:paraId="76CB8CFA">
            <w:pPr>
              <w:widowControl w:val="0"/>
              <w:adjustRightInd w:val="0"/>
              <w:snapToGrid w:val="0"/>
              <w:spacing w:line="240" w:lineRule="auto"/>
              <w:ind w:left="42" w:leftChars="20" w:right="42" w:rightChars="20"/>
              <w:jc w:val="center"/>
              <w:rPr>
                <w:rFonts w:hint="default" w:ascii="Times New Roman" w:hAnsi="Times New Roman" w:eastAsia="宋体" w:cs="Times New Roman"/>
                <w:color w:val="000000"/>
                <w:highlight w:val="none"/>
                <w:lang w:eastAsia="zh-CN"/>
              </w:rPr>
            </w:pPr>
            <w:r>
              <w:rPr>
                <w:rFonts w:hint="default" w:ascii="Times New Roman" w:hAnsi="Times New Roman" w:eastAsia="宋体" w:cs="Times New Roman"/>
                <w:color w:val="000000"/>
                <w:highlight w:val="none"/>
              </w:rPr>
              <w:t>≤</w:t>
            </w:r>
            <w:r>
              <w:rPr>
                <w:rFonts w:hint="default" w:ascii="Times New Roman" w:hAnsi="Times New Roman" w:eastAsia="宋体" w:cs="Times New Roman"/>
                <w:color w:val="000000"/>
                <w:szCs w:val="21"/>
                <w:highlight w:val="none"/>
                <w:lang w:val="en-US" w:eastAsia="zh-CN"/>
              </w:rPr>
              <w:t>2.0</w:t>
            </w:r>
            <w:r>
              <w:rPr>
                <w:rFonts w:hint="default" w:ascii="Times New Roman" w:hAnsi="Times New Roman" w:eastAsia="宋体" w:cs="Times New Roman"/>
                <w:color w:val="000000"/>
                <w:szCs w:val="21"/>
                <w:highlight w:val="none"/>
              </w:rPr>
              <w:t>mg/L</w:t>
            </w:r>
          </w:p>
        </w:tc>
      </w:tr>
      <w:tr w14:paraId="5AF34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4" w:type="pct"/>
            <w:noWrap w:val="0"/>
            <w:vAlign w:val="center"/>
          </w:tcPr>
          <w:p w14:paraId="4F376CAC">
            <w:pPr>
              <w:widowControl w:val="0"/>
              <w:spacing w:line="240" w:lineRule="auto"/>
              <w:ind w:left="42" w:leftChars="20" w:right="42" w:rightChars="20"/>
              <w:jc w:val="center"/>
              <w:rPr>
                <w:rFonts w:hint="default" w:ascii="Times New Roman" w:hAnsi="Times New Roman" w:eastAsia="宋体" w:cs="Times New Roman"/>
                <w:color w:val="000000"/>
                <w:kern w:val="0"/>
                <w:szCs w:val="21"/>
                <w:highlight w:val="none"/>
                <w:lang w:val="en-US" w:eastAsia="zh-CN"/>
              </w:rPr>
            </w:pPr>
            <w:r>
              <w:rPr>
                <w:rFonts w:hint="default" w:ascii="Times New Roman" w:hAnsi="Times New Roman" w:eastAsia="宋体" w:cs="Times New Roman"/>
                <w:color w:val="000000"/>
                <w:kern w:val="0"/>
                <w:szCs w:val="21"/>
                <w:highlight w:val="none"/>
                <w:lang w:val="en-US" w:eastAsia="zh-CN"/>
              </w:rPr>
              <w:t>硫酸盐</w:t>
            </w:r>
          </w:p>
        </w:tc>
        <w:tc>
          <w:tcPr>
            <w:tcW w:w="3645" w:type="pct"/>
            <w:noWrap w:val="0"/>
            <w:vAlign w:val="center"/>
          </w:tcPr>
          <w:p w14:paraId="38B91E5E">
            <w:pPr>
              <w:widowControl w:val="0"/>
              <w:adjustRightInd w:val="0"/>
              <w:snapToGrid w:val="0"/>
              <w:spacing w:line="240" w:lineRule="auto"/>
              <w:ind w:left="42" w:leftChars="20" w:right="42" w:rightChars="20"/>
              <w:jc w:val="center"/>
              <w:rPr>
                <w:rFonts w:hint="default" w:ascii="Times New Roman" w:hAnsi="Times New Roman" w:eastAsia="宋体" w:cs="Times New Roman"/>
                <w:color w:val="000000"/>
                <w:highlight w:val="none"/>
                <w:lang w:val="en-US" w:eastAsia="zh-CN"/>
              </w:rPr>
            </w:pPr>
            <w:r>
              <w:rPr>
                <w:rFonts w:hint="default" w:ascii="Times New Roman" w:hAnsi="Times New Roman" w:eastAsia="宋体" w:cs="Times New Roman"/>
                <w:color w:val="000000"/>
                <w:highlight w:val="none"/>
              </w:rPr>
              <w:t>≤</w:t>
            </w:r>
            <w:r>
              <w:rPr>
                <w:rFonts w:hint="default" w:ascii="Times New Roman" w:hAnsi="Times New Roman" w:eastAsia="宋体" w:cs="Times New Roman"/>
                <w:color w:val="000000"/>
                <w:szCs w:val="21"/>
                <w:highlight w:val="none"/>
                <w:lang w:val="en-US" w:eastAsia="zh-CN"/>
              </w:rPr>
              <w:t>250</w:t>
            </w:r>
            <w:r>
              <w:rPr>
                <w:rFonts w:hint="default" w:ascii="Times New Roman" w:hAnsi="Times New Roman" w:eastAsia="宋体" w:cs="Times New Roman"/>
                <w:color w:val="000000"/>
                <w:szCs w:val="21"/>
                <w:highlight w:val="none"/>
              </w:rPr>
              <w:t>mg/L</w:t>
            </w:r>
          </w:p>
        </w:tc>
      </w:tr>
    </w:tbl>
    <w:p w14:paraId="0CC68F67">
      <w:pPr>
        <w:pStyle w:val="5"/>
        <w:pageBreakBefore w:val="0"/>
        <w:widowControl w:val="0"/>
        <w:kinsoku/>
        <w:wordWrap/>
        <w:overflowPunct/>
        <w:topLinePunct w:val="0"/>
        <w:autoSpaceDE/>
        <w:autoSpaceDN/>
        <w:bidi w:val="0"/>
        <w:adjustRightInd/>
        <w:snapToGrid/>
        <w:spacing w:before="0" w:after="0" w:line="480" w:lineRule="exact"/>
        <w:textAlignment w:val="auto"/>
        <w:rPr>
          <w:rFonts w:hint="default" w:ascii="Times New Roman" w:hAnsi="Times New Roman" w:eastAsia="宋体" w:cs="Times New Roman"/>
          <w:color w:val="000000" w:themeColor="text1"/>
          <w:highlight w:val="none"/>
          <w14:textFill>
            <w14:solidFill>
              <w14:schemeClr w14:val="tx1"/>
            </w14:solidFill>
          </w14:textFill>
        </w:rPr>
      </w:pPr>
      <w:r>
        <w:rPr>
          <w:rFonts w:hint="default"/>
          <w:highlight w:val="none"/>
        </w:rPr>
        <w:t>6.</w:t>
      </w:r>
      <w:r>
        <w:rPr>
          <w:rFonts w:hint="eastAsia"/>
          <w:highlight w:val="none"/>
          <w:lang w:val="en-US" w:eastAsia="zh-CN"/>
        </w:rPr>
        <w:t>3</w:t>
      </w:r>
      <w:r>
        <w:rPr>
          <w:rFonts w:hint="default"/>
          <w:highlight w:val="none"/>
        </w:rPr>
        <w:t>噪声</w:t>
      </w:r>
      <w:bookmarkEnd w:id="27"/>
    </w:p>
    <w:p w14:paraId="4774F82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项目运营期厂界噪声执行《工业企业厂界环境噪声排放标准》（GB12348-2008）中3类标准。天才宝贝幼儿园、尚文小学执行《声环境质量标准》（GB3096-2008）2 类标准。</w:t>
      </w:r>
    </w:p>
    <w:p w14:paraId="46075C5F">
      <w:pPr>
        <w:pStyle w:val="5"/>
        <w:pageBreakBefore w:val="0"/>
        <w:widowControl w:val="0"/>
        <w:kinsoku/>
        <w:wordWrap/>
        <w:overflowPunct/>
        <w:topLinePunct w:val="0"/>
        <w:autoSpaceDE/>
        <w:autoSpaceDN/>
        <w:bidi w:val="0"/>
        <w:adjustRightInd/>
        <w:snapToGrid/>
        <w:spacing w:before="0" w:after="0" w:line="480" w:lineRule="exact"/>
        <w:textAlignment w:val="auto"/>
        <w:rPr>
          <w:rFonts w:hint="eastAsia" w:ascii="宋体" w:hAnsi="宋体" w:eastAsia="宋体" w:cs="宋体"/>
          <w:color w:val="000000" w:themeColor="text1"/>
          <w:highlight w:val="none"/>
          <w14:textFill>
            <w14:solidFill>
              <w14:schemeClr w14:val="tx1"/>
            </w14:solidFill>
          </w14:textFill>
        </w:rPr>
      </w:pPr>
      <w:bookmarkStart w:id="28" w:name="_Toc20099"/>
      <w:r>
        <w:rPr>
          <w:rFonts w:hint="default"/>
          <w:highlight w:val="none"/>
        </w:rPr>
        <w:t>6.</w:t>
      </w:r>
      <w:r>
        <w:rPr>
          <w:rFonts w:hint="eastAsia"/>
          <w:highlight w:val="none"/>
          <w:lang w:val="en-US" w:eastAsia="zh-CN"/>
        </w:rPr>
        <w:t>4</w:t>
      </w:r>
      <w:r>
        <w:rPr>
          <w:rFonts w:hint="eastAsia"/>
          <w:highlight w:val="none"/>
        </w:rPr>
        <w:t>固体废物</w:t>
      </w:r>
      <w:bookmarkEnd w:id="28"/>
    </w:p>
    <w:p w14:paraId="420803D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危险废物暂存执行《危险废物贮存污染控制标准》（GB18597-2023）中相关规定，一般固体废物储存场所执行《排污许可证申请与核发技术规范 工业固体废物（试行）》（HJ 1200-2021）要求。</w:t>
      </w:r>
      <w:r>
        <w:rPr>
          <w:rFonts w:hint="default" w:ascii="Times New Roman" w:hAnsi="Times New Roman" w:eastAsia="宋体" w:cs="Times New Roman"/>
          <w:color w:val="000000" w:themeColor="text1"/>
          <w:highlight w:val="none"/>
          <w14:textFill>
            <w14:solidFill>
              <w14:schemeClr w14:val="tx1"/>
            </w14:solidFill>
          </w14:textFill>
        </w:rPr>
        <w:br w:type="page"/>
      </w:r>
    </w:p>
    <w:p w14:paraId="60609F8D">
      <w:pPr>
        <w:pStyle w:val="4"/>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lang w:val="en-US" w:eastAsia="zh-CN"/>
          <w14:textFill>
            <w14:solidFill>
              <w14:schemeClr w14:val="tx1"/>
            </w14:solidFill>
          </w14:textFill>
        </w:rPr>
      </w:pPr>
      <w:bookmarkStart w:id="29" w:name="_Toc8756"/>
      <w:r>
        <w:rPr>
          <w:rFonts w:hint="default" w:ascii="Times New Roman" w:hAnsi="Times New Roman" w:eastAsia="宋体" w:cs="Times New Roman"/>
          <w:color w:val="000000" w:themeColor="text1"/>
          <w:highlight w:val="none"/>
          <w14:textFill>
            <w14:solidFill>
              <w14:schemeClr w14:val="tx1"/>
            </w14:solidFill>
          </w14:textFill>
        </w:rPr>
        <w:t>7验收监测内容</w:t>
      </w:r>
      <w:bookmarkEnd w:id="29"/>
    </w:p>
    <w:p w14:paraId="6B76A081">
      <w:pPr>
        <w:pStyle w:val="5"/>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30" w:name="_Toc5049"/>
      <w:r>
        <w:rPr>
          <w:rFonts w:hint="default" w:ascii="Times New Roman" w:hAnsi="Times New Roman" w:eastAsia="宋体" w:cs="Times New Roman"/>
          <w:color w:val="000000" w:themeColor="text1"/>
          <w:highlight w:val="none"/>
          <w14:textFill>
            <w14:solidFill>
              <w14:schemeClr w14:val="tx1"/>
            </w14:solidFill>
          </w14:textFill>
        </w:rPr>
        <w:t>7.1环境保护设施调试运行效果</w:t>
      </w:r>
      <w:bookmarkEnd w:id="30"/>
    </w:p>
    <w:p w14:paraId="634AD322">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7.1.1废水</w:t>
      </w:r>
    </w:p>
    <w:p w14:paraId="624C4A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具体监测内容见表7-</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1</w:t>
      </w:r>
      <w:r>
        <w:rPr>
          <w:rFonts w:hint="eastAsia" w:ascii="Times New Roman" w:hAnsi="Times New Roman" w:eastAsia="宋体" w:cs="Times New Roman"/>
          <w:color w:val="000000" w:themeColor="text1"/>
          <w:sz w:val="24"/>
          <w:szCs w:val="24"/>
          <w:highlight w:val="none"/>
          <w14:textFill>
            <w14:solidFill>
              <w14:schemeClr w14:val="tx1"/>
            </w14:solidFill>
          </w14:textFill>
        </w:rPr>
        <w:t>。</w:t>
      </w:r>
    </w:p>
    <w:p w14:paraId="2E83E4CE">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表7-</w:t>
      </w:r>
      <w:r>
        <w:rPr>
          <w:rFonts w:hint="eastAsia" w:ascii="Times New Roman" w:hAnsi="Times New Roman" w:eastAsia="宋体" w:cs="Times New Roman"/>
          <w:b/>
          <w:sz w:val="24"/>
          <w:szCs w:val="24"/>
          <w:highlight w:val="none"/>
          <w:lang w:val="en-US" w:eastAsia="zh-CN"/>
        </w:rPr>
        <w:t>1  废水</w:t>
      </w:r>
      <w:r>
        <w:rPr>
          <w:rFonts w:hint="default" w:ascii="Times New Roman" w:hAnsi="Times New Roman" w:eastAsia="宋体" w:cs="Times New Roman"/>
          <w:b/>
          <w:sz w:val="24"/>
          <w:szCs w:val="24"/>
          <w:highlight w:val="none"/>
        </w:rPr>
        <w:t>检测点位、项目及频次</w:t>
      </w:r>
    </w:p>
    <w:tbl>
      <w:tblPr>
        <w:tblStyle w:val="3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6"/>
        <w:gridCol w:w="941"/>
        <w:gridCol w:w="3264"/>
        <w:gridCol w:w="2101"/>
        <w:gridCol w:w="1377"/>
      </w:tblGrid>
      <w:tr w14:paraId="7DED6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1" w:type="pct"/>
            <w:noWrap w:val="0"/>
            <w:vAlign w:val="center"/>
          </w:tcPr>
          <w:p w14:paraId="068819AF">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序号</w:t>
            </w:r>
          </w:p>
        </w:tc>
        <w:tc>
          <w:tcPr>
            <w:tcW w:w="552" w:type="pct"/>
            <w:noWrap w:val="0"/>
            <w:vAlign w:val="center"/>
          </w:tcPr>
          <w:p w14:paraId="53DF3AA0">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类别</w:t>
            </w:r>
          </w:p>
        </w:tc>
        <w:tc>
          <w:tcPr>
            <w:tcW w:w="1915" w:type="pct"/>
            <w:noWrap w:val="0"/>
            <w:vAlign w:val="center"/>
          </w:tcPr>
          <w:p w14:paraId="7094E189">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监测因子</w:t>
            </w:r>
          </w:p>
        </w:tc>
        <w:tc>
          <w:tcPr>
            <w:tcW w:w="1233" w:type="pct"/>
            <w:noWrap w:val="0"/>
            <w:vAlign w:val="center"/>
          </w:tcPr>
          <w:p w14:paraId="5E81D445">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监测频次</w:t>
            </w:r>
          </w:p>
        </w:tc>
        <w:tc>
          <w:tcPr>
            <w:tcW w:w="808" w:type="pct"/>
            <w:noWrap w:val="0"/>
            <w:vAlign w:val="center"/>
          </w:tcPr>
          <w:p w14:paraId="538B303C">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检测位置</w:t>
            </w:r>
          </w:p>
        </w:tc>
      </w:tr>
      <w:tr w14:paraId="65CC0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1" w:type="pct"/>
            <w:noWrap w:val="0"/>
            <w:vAlign w:val="center"/>
          </w:tcPr>
          <w:p w14:paraId="0CA2A96B">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1</w:t>
            </w:r>
          </w:p>
        </w:tc>
        <w:tc>
          <w:tcPr>
            <w:tcW w:w="552" w:type="pct"/>
            <w:noWrap w:val="0"/>
            <w:vAlign w:val="center"/>
          </w:tcPr>
          <w:p w14:paraId="01ABA3D8">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废水</w:t>
            </w:r>
          </w:p>
        </w:tc>
        <w:tc>
          <w:tcPr>
            <w:tcW w:w="1915" w:type="pct"/>
            <w:noWrap w:val="0"/>
            <w:vAlign w:val="center"/>
          </w:tcPr>
          <w:p w14:paraId="2875A9DA">
            <w:pPr>
              <w:jc w:val="center"/>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color w:val="auto"/>
                <w:w w:val="100"/>
                <w:sz w:val="21"/>
                <w:szCs w:val="21"/>
                <w:highlight w:val="none"/>
                <w:lang w:val="en-US" w:eastAsia="zh-CN"/>
              </w:rPr>
              <w:t>pH、COD、BOD</w:t>
            </w:r>
            <w:r>
              <w:rPr>
                <w:rFonts w:hint="eastAsia" w:ascii="Times New Roman" w:hAnsi="Times New Roman" w:eastAsia="宋体" w:cs="Times New Roman"/>
                <w:color w:val="auto"/>
                <w:w w:val="100"/>
                <w:sz w:val="21"/>
                <w:szCs w:val="21"/>
                <w:highlight w:val="none"/>
                <w:vertAlign w:val="subscript"/>
                <w:lang w:val="en-US" w:eastAsia="zh-CN"/>
              </w:rPr>
              <w:t>5</w:t>
            </w:r>
            <w:r>
              <w:rPr>
                <w:rFonts w:hint="eastAsia" w:ascii="Times New Roman" w:hAnsi="Times New Roman" w:eastAsia="宋体" w:cs="Times New Roman"/>
                <w:color w:val="auto"/>
                <w:w w:val="100"/>
                <w:sz w:val="21"/>
                <w:szCs w:val="21"/>
                <w:highlight w:val="none"/>
                <w:lang w:val="en-US" w:eastAsia="zh-CN"/>
              </w:rPr>
              <w:t>、氨氮、石油类、LAS、氟化物、硫酸盐</w:t>
            </w:r>
          </w:p>
        </w:tc>
        <w:tc>
          <w:tcPr>
            <w:tcW w:w="1233" w:type="pct"/>
            <w:noWrap w:val="0"/>
            <w:vAlign w:val="center"/>
          </w:tcPr>
          <w:p w14:paraId="77FE8FD4">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每天采集四个样品，连续监测两天</w:t>
            </w:r>
          </w:p>
        </w:tc>
        <w:tc>
          <w:tcPr>
            <w:tcW w:w="808" w:type="pct"/>
            <w:noWrap w:val="0"/>
            <w:vAlign w:val="center"/>
          </w:tcPr>
          <w:p w14:paraId="4CD1FF1F">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bCs/>
                <w:sz w:val="21"/>
                <w:szCs w:val="21"/>
                <w:highlight w:val="none"/>
                <w:vertAlign w:val="baseline"/>
                <w:lang w:val="en-US" w:eastAsia="zh-CN"/>
              </w:rPr>
            </w:pPr>
            <w:r>
              <w:rPr>
                <w:rFonts w:hint="eastAsia" w:ascii="Times New Roman" w:hAnsi="Times New Roman" w:eastAsia="宋体" w:cs="Times New Roman"/>
                <w:b w:val="0"/>
                <w:bCs w:val="0"/>
                <w:sz w:val="21"/>
                <w:szCs w:val="21"/>
                <w:highlight w:val="none"/>
                <w:vertAlign w:val="baseline"/>
                <w:lang w:val="en-US" w:eastAsia="zh-CN"/>
              </w:rPr>
              <w:t>污水站废水出口</w:t>
            </w:r>
          </w:p>
        </w:tc>
      </w:tr>
    </w:tbl>
    <w:p w14:paraId="6C7E5312">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eastAsiaTheme="minorEastAsia"/>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7.1.2废气</w:t>
      </w:r>
    </w:p>
    <w:p w14:paraId="1D1372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具体监测内容见表7-</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2</w:t>
      </w:r>
      <w:r>
        <w:rPr>
          <w:rFonts w:hint="eastAsia" w:ascii="Times New Roman" w:hAnsi="Times New Roman" w:eastAsia="宋体" w:cs="Times New Roman"/>
          <w:color w:val="000000" w:themeColor="text1"/>
          <w:sz w:val="24"/>
          <w:szCs w:val="24"/>
          <w:highlight w:val="none"/>
          <w14:textFill>
            <w14:solidFill>
              <w14:schemeClr w14:val="tx1"/>
            </w14:solidFill>
          </w14:textFill>
        </w:rPr>
        <w:t>。</w:t>
      </w:r>
    </w:p>
    <w:p w14:paraId="3D6A5D4E">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表7-</w:t>
      </w:r>
      <w:r>
        <w:rPr>
          <w:rFonts w:hint="eastAsia" w:ascii="Times New Roman" w:hAnsi="Times New Roman" w:eastAsia="宋体" w:cs="Times New Roman"/>
          <w:b/>
          <w:sz w:val="24"/>
          <w:szCs w:val="24"/>
          <w:highlight w:val="none"/>
          <w:lang w:val="en-US" w:eastAsia="zh-CN"/>
        </w:rPr>
        <w:t xml:space="preserve">2  </w:t>
      </w:r>
      <w:r>
        <w:rPr>
          <w:rFonts w:hint="default" w:ascii="Times New Roman" w:hAnsi="Times New Roman" w:eastAsia="宋体" w:cs="Times New Roman"/>
          <w:b/>
          <w:sz w:val="24"/>
          <w:szCs w:val="24"/>
          <w:highlight w:val="none"/>
        </w:rPr>
        <w:t>有组织排放废气检测点位、项目及频次</w:t>
      </w:r>
    </w:p>
    <w:tbl>
      <w:tblPr>
        <w:tblStyle w:val="33"/>
        <w:tblW w:w="50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0"/>
        <w:gridCol w:w="874"/>
        <w:gridCol w:w="1739"/>
        <w:gridCol w:w="1309"/>
        <w:gridCol w:w="1073"/>
        <w:gridCol w:w="1475"/>
        <w:gridCol w:w="1425"/>
      </w:tblGrid>
      <w:tr w14:paraId="5E67E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1" w:type="pct"/>
            <w:noWrap w:val="0"/>
            <w:vAlign w:val="center"/>
          </w:tcPr>
          <w:p w14:paraId="64FD7905">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序号</w:t>
            </w:r>
          </w:p>
        </w:tc>
        <w:tc>
          <w:tcPr>
            <w:tcW w:w="510" w:type="pct"/>
            <w:noWrap w:val="0"/>
            <w:vAlign w:val="center"/>
          </w:tcPr>
          <w:p w14:paraId="39075CBA">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类别</w:t>
            </w:r>
          </w:p>
        </w:tc>
        <w:tc>
          <w:tcPr>
            <w:tcW w:w="1015" w:type="pct"/>
            <w:noWrap w:val="0"/>
            <w:vAlign w:val="center"/>
          </w:tcPr>
          <w:p w14:paraId="5B9DA88D">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排放口名称</w:t>
            </w:r>
          </w:p>
        </w:tc>
        <w:tc>
          <w:tcPr>
            <w:tcW w:w="764" w:type="pct"/>
            <w:noWrap w:val="0"/>
            <w:vAlign w:val="center"/>
          </w:tcPr>
          <w:p w14:paraId="46B0A1DE">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排放口编号</w:t>
            </w:r>
          </w:p>
        </w:tc>
        <w:tc>
          <w:tcPr>
            <w:tcW w:w="626" w:type="pct"/>
            <w:noWrap w:val="0"/>
            <w:vAlign w:val="center"/>
          </w:tcPr>
          <w:p w14:paraId="6CBE2BAC">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监测因子</w:t>
            </w:r>
          </w:p>
        </w:tc>
        <w:tc>
          <w:tcPr>
            <w:tcW w:w="861" w:type="pct"/>
            <w:noWrap w:val="0"/>
            <w:vAlign w:val="center"/>
          </w:tcPr>
          <w:p w14:paraId="42296862">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监测频次</w:t>
            </w:r>
          </w:p>
        </w:tc>
        <w:tc>
          <w:tcPr>
            <w:tcW w:w="831" w:type="pct"/>
            <w:noWrap w:val="0"/>
            <w:vAlign w:val="center"/>
          </w:tcPr>
          <w:p w14:paraId="26F22133">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检测位置</w:t>
            </w:r>
          </w:p>
        </w:tc>
      </w:tr>
      <w:tr w14:paraId="5DF42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391" w:type="pct"/>
            <w:noWrap w:val="0"/>
            <w:vAlign w:val="center"/>
          </w:tcPr>
          <w:p w14:paraId="545FF683">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1</w:t>
            </w:r>
          </w:p>
        </w:tc>
        <w:tc>
          <w:tcPr>
            <w:tcW w:w="510" w:type="pct"/>
            <w:vMerge w:val="restart"/>
            <w:noWrap w:val="0"/>
            <w:vAlign w:val="center"/>
          </w:tcPr>
          <w:p w14:paraId="7DCCCCD7">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有组织废气</w:t>
            </w:r>
          </w:p>
        </w:tc>
        <w:tc>
          <w:tcPr>
            <w:tcW w:w="1015" w:type="pct"/>
            <w:noWrap w:val="0"/>
            <w:vAlign w:val="center"/>
          </w:tcPr>
          <w:p w14:paraId="70BDAA90">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color w:val="auto"/>
                <w:szCs w:val="21"/>
                <w:highlight w:val="none"/>
                <w:lang w:val="en-US" w:eastAsia="zh-CN"/>
              </w:rPr>
              <w:t>抛光废气排放口</w:t>
            </w:r>
          </w:p>
        </w:tc>
        <w:tc>
          <w:tcPr>
            <w:tcW w:w="764" w:type="pct"/>
            <w:noWrap w:val="0"/>
            <w:vAlign w:val="center"/>
          </w:tcPr>
          <w:p w14:paraId="08BE8F8B">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color w:val="000000"/>
                <w:sz w:val="21"/>
                <w:szCs w:val="21"/>
                <w:highlight w:val="none"/>
                <w:lang w:val="en-US" w:eastAsia="zh-CN"/>
              </w:rPr>
              <w:t>DA001</w:t>
            </w:r>
          </w:p>
        </w:tc>
        <w:tc>
          <w:tcPr>
            <w:tcW w:w="626" w:type="pct"/>
            <w:noWrap w:val="0"/>
            <w:vAlign w:val="center"/>
          </w:tcPr>
          <w:p w14:paraId="1D334BAE">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颗粒物</w:t>
            </w:r>
          </w:p>
        </w:tc>
        <w:tc>
          <w:tcPr>
            <w:tcW w:w="861" w:type="pct"/>
            <w:noWrap w:val="0"/>
            <w:vAlign w:val="center"/>
          </w:tcPr>
          <w:p w14:paraId="2A623C72">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每天采集三个样品，连续监测两天</w:t>
            </w:r>
          </w:p>
        </w:tc>
        <w:tc>
          <w:tcPr>
            <w:tcW w:w="831" w:type="pct"/>
            <w:noWrap w:val="0"/>
            <w:vAlign w:val="center"/>
          </w:tcPr>
          <w:p w14:paraId="5209E396">
            <w:pPr>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出口</w:t>
            </w:r>
          </w:p>
        </w:tc>
      </w:tr>
      <w:tr w14:paraId="5F933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391" w:type="pct"/>
            <w:noWrap w:val="0"/>
            <w:vAlign w:val="center"/>
          </w:tcPr>
          <w:p w14:paraId="056AB142">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2</w:t>
            </w:r>
          </w:p>
        </w:tc>
        <w:tc>
          <w:tcPr>
            <w:tcW w:w="510" w:type="pct"/>
            <w:vMerge w:val="continue"/>
            <w:noWrap w:val="0"/>
            <w:vAlign w:val="center"/>
          </w:tcPr>
          <w:p w14:paraId="637A7E6D">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p>
        </w:tc>
        <w:tc>
          <w:tcPr>
            <w:tcW w:w="1015" w:type="pct"/>
            <w:noWrap w:val="0"/>
            <w:vAlign w:val="center"/>
          </w:tcPr>
          <w:p w14:paraId="48847644">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阳极氧化废气排放口</w:t>
            </w:r>
          </w:p>
        </w:tc>
        <w:tc>
          <w:tcPr>
            <w:tcW w:w="764" w:type="pct"/>
            <w:noWrap w:val="0"/>
            <w:vAlign w:val="center"/>
          </w:tcPr>
          <w:p w14:paraId="2A316313">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kern w:val="2"/>
                <w:sz w:val="21"/>
                <w:szCs w:val="21"/>
                <w:highlight w:val="none"/>
                <w:vertAlign w:val="baseline"/>
                <w:lang w:val="en-US" w:eastAsia="zh-CN" w:bidi="ar-SA"/>
              </w:rPr>
            </w:pPr>
            <w:r>
              <w:rPr>
                <w:rFonts w:hint="default" w:ascii="Times New Roman" w:hAnsi="Times New Roman" w:eastAsia="宋体" w:cs="Times New Roman"/>
                <w:color w:val="000000"/>
                <w:sz w:val="21"/>
                <w:szCs w:val="21"/>
                <w:highlight w:val="none"/>
                <w:lang w:val="en-US" w:eastAsia="zh-CN"/>
              </w:rPr>
              <w:t>DA002</w:t>
            </w:r>
          </w:p>
        </w:tc>
        <w:tc>
          <w:tcPr>
            <w:tcW w:w="626" w:type="pct"/>
            <w:noWrap w:val="0"/>
            <w:vAlign w:val="center"/>
          </w:tcPr>
          <w:p w14:paraId="13A032EF">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rPr>
              <w:t>硫酸雾</w:t>
            </w:r>
          </w:p>
        </w:tc>
        <w:tc>
          <w:tcPr>
            <w:tcW w:w="861" w:type="pct"/>
            <w:noWrap w:val="0"/>
            <w:vAlign w:val="center"/>
          </w:tcPr>
          <w:p w14:paraId="7095CE1E">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kern w:val="2"/>
                <w:sz w:val="21"/>
                <w:szCs w:val="21"/>
                <w:highlight w:val="none"/>
                <w:vertAlign w:val="baseline"/>
                <w:lang w:val="en-US" w:eastAsia="zh-CN" w:bidi="ar-SA"/>
              </w:rPr>
            </w:pPr>
            <w:r>
              <w:rPr>
                <w:rFonts w:hint="default" w:ascii="Times New Roman" w:hAnsi="Times New Roman" w:eastAsia="宋体" w:cs="Times New Roman"/>
                <w:sz w:val="21"/>
                <w:szCs w:val="21"/>
                <w:highlight w:val="none"/>
                <w:vertAlign w:val="baseline"/>
                <w:lang w:val="en-US" w:eastAsia="zh-CN"/>
              </w:rPr>
              <w:t>每天采集三个样品，连续监测两天</w:t>
            </w:r>
          </w:p>
        </w:tc>
        <w:tc>
          <w:tcPr>
            <w:tcW w:w="831" w:type="pct"/>
            <w:noWrap w:val="0"/>
            <w:vAlign w:val="center"/>
          </w:tcPr>
          <w:p w14:paraId="53AE746E">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kern w:val="2"/>
                <w:sz w:val="21"/>
                <w:szCs w:val="21"/>
                <w:highlight w:val="none"/>
                <w:vertAlign w:val="baseline"/>
                <w:lang w:val="en-US" w:eastAsia="zh-CN" w:bidi="ar-SA"/>
              </w:rPr>
            </w:pPr>
            <w:r>
              <w:rPr>
                <w:rFonts w:hint="default" w:ascii="Times New Roman" w:hAnsi="Times New Roman" w:eastAsia="宋体" w:cs="Times New Roman"/>
                <w:sz w:val="21"/>
                <w:szCs w:val="21"/>
                <w:highlight w:val="none"/>
                <w:vertAlign w:val="baseline"/>
                <w:lang w:val="en-US" w:eastAsia="zh-CN"/>
              </w:rPr>
              <w:t>出口</w:t>
            </w:r>
          </w:p>
        </w:tc>
      </w:tr>
      <w:tr w14:paraId="71435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391" w:type="pct"/>
            <w:noWrap w:val="0"/>
            <w:vAlign w:val="center"/>
          </w:tcPr>
          <w:p w14:paraId="4FB20B78">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3</w:t>
            </w:r>
          </w:p>
        </w:tc>
        <w:tc>
          <w:tcPr>
            <w:tcW w:w="510" w:type="pct"/>
            <w:vMerge w:val="restart"/>
            <w:noWrap w:val="0"/>
            <w:vAlign w:val="center"/>
          </w:tcPr>
          <w:p w14:paraId="78F776DC">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无组织废气</w:t>
            </w:r>
          </w:p>
        </w:tc>
        <w:tc>
          <w:tcPr>
            <w:tcW w:w="1015" w:type="pct"/>
            <w:noWrap w:val="0"/>
            <w:vAlign w:val="center"/>
          </w:tcPr>
          <w:p w14:paraId="5A0C2AD9">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厂界</w:t>
            </w:r>
          </w:p>
        </w:tc>
        <w:tc>
          <w:tcPr>
            <w:tcW w:w="764" w:type="pct"/>
            <w:noWrap w:val="0"/>
            <w:vAlign w:val="center"/>
          </w:tcPr>
          <w:p w14:paraId="5330FD32">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w:t>
            </w:r>
          </w:p>
        </w:tc>
        <w:tc>
          <w:tcPr>
            <w:tcW w:w="626" w:type="pct"/>
            <w:noWrap w:val="0"/>
            <w:vAlign w:val="center"/>
          </w:tcPr>
          <w:p w14:paraId="60CE6167">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颗粒物</w:t>
            </w:r>
          </w:p>
          <w:p w14:paraId="52A3C3A7">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硫酸雾</w:t>
            </w:r>
          </w:p>
        </w:tc>
        <w:tc>
          <w:tcPr>
            <w:tcW w:w="861" w:type="pct"/>
            <w:vMerge w:val="restart"/>
            <w:noWrap w:val="0"/>
            <w:vAlign w:val="center"/>
          </w:tcPr>
          <w:p w14:paraId="650BD87A">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每天采集四个样品，</w:t>
            </w:r>
          </w:p>
          <w:p w14:paraId="5ED23F64">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连续监测两天</w:t>
            </w:r>
          </w:p>
        </w:tc>
        <w:tc>
          <w:tcPr>
            <w:tcW w:w="831" w:type="pct"/>
            <w:noWrap w:val="0"/>
            <w:vAlign w:val="center"/>
          </w:tcPr>
          <w:p w14:paraId="4F9FF626">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上风向一个点，下风向三个点</w:t>
            </w:r>
          </w:p>
        </w:tc>
      </w:tr>
      <w:tr w14:paraId="1EDC1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391" w:type="pct"/>
            <w:noWrap w:val="0"/>
            <w:vAlign w:val="center"/>
          </w:tcPr>
          <w:p w14:paraId="305F330C">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4</w:t>
            </w:r>
          </w:p>
        </w:tc>
        <w:tc>
          <w:tcPr>
            <w:tcW w:w="510" w:type="pct"/>
            <w:vMerge w:val="continue"/>
            <w:noWrap w:val="0"/>
            <w:vAlign w:val="center"/>
          </w:tcPr>
          <w:p w14:paraId="452C30D9">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p>
        </w:tc>
        <w:tc>
          <w:tcPr>
            <w:tcW w:w="1015" w:type="pct"/>
            <w:noWrap w:val="0"/>
            <w:vAlign w:val="center"/>
          </w:tcPr>
          <w:p w14:paraId="407D0BC9">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车间界</w:t>
            </w:r>
          </w:p>
        </w:tc>
        <w:tc>
          <w:tcPr>
            <w:tcW w:w="764" w:type="pct"/>
            <w:noWrap w:val="0"/>
            <w:vAlign w:val="center"/>
          </w:tcPr>
          <w:p w14:paraId="7B82E144">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w:t>
            </w:r>
          </w:p>
        </w:tc>
        <w:tc>
          <w:tcPr>
            <w:tcW w:w="626" w:type="pct"/>
            <w:noWrap w:val="0"/>
            <w:vAlign w:val="center"/>
          </w:tcPr>
          <w:p w14:paraId="77DEA161">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颗粒物</w:t>
            </w:r>
          </w:p>
        </w:tc>
        <w:tc>
          <w:tcPr>
            <w:tcW w:w="861" w:type="pct"/>
            <w:vMerge w:val="continue"/>
            <w:noWrap w:val="0"/>
            <w:vAlign w:val="center"/>
          </w:tcPr>
          <w:p w14:paraId="6CA4256D">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sz w:val="21"/>
                <w:szCs w:val="21"/>
                <w:highlight w:val="none"/>
                <w:vertAlign w:val="baseline"/>
                <w:lang w:val="en-US" w:eastAsia="zh-CN"/>
              </w:rPr>
            </w:pPr>
          </w:p>
        </w:tc>
        <w:tc>
          <w:tcPr>
            <w:tcW w:w="831" w:type="pct"/>
            <w:noWrap w:val="0"/>
            <w:vAlign w:val="center"/>
          </w:tcPr>
          <w:p w14:paraId="205DD1BB">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车间界一个点</w:t>
            </w:r>
          </w:p>
        </w:tc>
      </w:tr>
    </w:tbl>
    <w:p w14:paraId="6AC17855">
      <w:pPr>
        <w:pStyle w:val="6"/>
        <w:keepNext w:val="0"/>
        <w:keepLines w:val="0"/>
        <w:pageBreakBefore w:val="0"/>
        <w:widowControl w:val="0"/>
        <w:kinsoku/>
        <w:wordWrap/>
        <w:overflowPunct/>
        <w:topLinePunct w:val="0"/>
        <w:autoSpaceDE/>
        <w:autoSpaceDN/>
        <w:bidi w:val="0"/>
        <w:adjustRightInd/>
        <w:snapToGrid/>
        <w:spacing w:line="360" w:lineRule="auto"/>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7.1.</w:t>
      </w:r>
      <w:r>
        <w:rPr>
          <w:rFonts w:hint="eastAsia"/>
          <w:color w:val="000000" w:themeColor="text1"/>
          <w:highlight w:val="none"/>
          <w:lang w:val="en-US" w:eastAsia="zh-CN"/>
          <w14:textFill>
            <w14:solidFill>
              <w14:schemeClr w14:val="tx1"/>
            </w14:solidFill>
          </w14:textFill>
        </w:rPr>
        <w:t>3</w:t>
      </w:r>
      <w:r>
        <w:rPr>
          <w:rFonts w:ascii="Times New Roman" w:hAnsi="Times New Roman"/>
          <w:b/>
          <w:highlight w:val="none"/>
        </w:rPr>
        <w:t>厂界噪声监测</w:t>
      </w:r>
    </w:p>
    <w:p w14:paraId="311BE9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本项目噪声源主</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要为设备运行产生的噪声，</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设备均置于室内，通过采用厂房隔声、基础减震等措施</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降噪，</w:t>
      </w:r>
      <w:r>
        <w:rPr>
          <w:rFonts w:hint="default" w:ascii="Times New Roman" w:hAnsi="Times New Roman" w:eastAsia="宋体" w:cs="Times New Roman"/>
          <w:color w:val="000000" w:themeColor="text1"/>
          <w:sz w:val="24"/>
          <w:szCs w:val="24"/>
          <w:highlight w:val="none"/>
          <w14:textFill>
            <w14:solidFill>
              <w14:schemeClr w14:val="tx1"/>
            </w14:solidFill>
          </w14:textFill>
        </w:rPr>
        <w:t>项目噪声具体监测内容见表7-</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p>
    <w:p w14:paraId="09341435">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表7-</w:t>
      </w:r>
      <w:r>
        <w:rPr>
          <w:rFonts w:hint="eastAsia" w:ascii="Times New Roman" w:hAnsi="Times New Roman" w:eastAsia="宋体" w:cs="Times New Roman"/>
          <w:b/>
          <w:sz w:val="24"/>
          <w:szCs w:val="24"/>
          <w:highlight w:val="none"/>
          <w:lang w:val="en-US" w:eastAsia="zh-CN"/>
        </w:rPr>
        <w:t xml:space="preserve">3  </w:t>
      </w:r>
      <w:r>
        <w:rPr>
          <w:rFonts w:hint="default" w:ascii="Times New Roman" w:hAnsi="Times New Roman" w:eastAsia="宋体" w:cs="Times New Roman"/>
          <w:b/>
          <w:sz w:val="24"/>
          <w:szCs w:val="24"/>
          <w:highlight w:val="none"/>
        </w:rPr>
        <w:t>噪声监测内容一览表</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4"/>
        <w:gridCol w:w="2030"/>
        <w:gridCol w:w="1575"/>
        <w:gridCol w:w="2558"/>
        <w:gridCol w:w="1705"/>
      </w:tblGrid>
      <w:tr w14:paraId="672EF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4" w:type="dxa"/>
            <w:noWrap w:val="0"/>
            <w:vAlign w:val="center"/>
          </w:tcPr>
          <w:p w14:paraId="30EBF26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030" w:type="dxa"/>
            <w:noWrap w:val="0"/>
            <w:vAlign w:val="center"/>
          </w:tcPr>
          <w:p w14:paraId="37F2BE7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监测点位</w:t>
            </w:r>
          </w:p>
        </w:tc>
        <w:tc>
          <w:tcPr>
            <w:tcW w:w="1575" w:type="dxa"/>
            <w:noWrap w:val="0"/>
            <w:vAlign w:val="center"/>
          </w:tcPr>
          <w:p w14:paraId="5BB71B3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监测因子</w:t>
            </w:r>
          </w:p>
        </w:tc>
        <w:tc>
          <w:tcPr>
            <w:tcW w:w="2558" w:type="dxa"/>
            <w:noWrap w:val="0"/>
            <w:vAlign w:val="center"/>
          </w:tcPr>
          <w:p w14:paraId="19DED03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监测频次</w:t>
            </w:r>
          </w:p>
        </w:tc>
        <w:tc>
          <w:tcPr>
            <w:tcW w:w="1705" w:type="dxa"/>
            <w:noWrap w:val="0"/>
            <w:vAlign w:val="center"/>
          </w:tcPr>
          <w:p w14:paraId="69078BF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监测周期</w:t>
            </w:r>
          </w:p>
        </w:tc>
      </w:tr>
      <w:tr w14:paraId="320B4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4" w:type="dxa"/>
            <w:noWrap w:val="0"/>
            <w:vAlign w:val="center"/>
          </w:tcPr>
          <w:p w14:paraId="4122B5F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default" w:ascii="Times New Roman" w:hAnsi="Times New Roman" w:eastAsia="宋体" w:cs="Times New Roman"/>
                <w:color w:val="auto"/>
                <w:sz w:val="21"/>
                <w:szCs w:val="21"/>
                <w:highlight w:val="none"/>
              </w:rPr>
              <w:t>1</w:t>
            </w:r>
          </w:p>
        </w:tc>
        <w:tc>
          <w:tcPr>
            <w:tcW w:w="2030" w:type="dxa"/>
            <w:noWrap w:val="0"/>
            <w:vAlign w:val="center"/>
          </w:tcPr>
          <w:p w14:paraId="1187384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四周厂界</w:t>
            </w:r>
          </w:p>
        </w:tc>
        <w:tc>
          <w:tcPr>
            <w:tcW w:w="1575" w:type="dxa"/>
            <w:noWrap w:val="0"/>
            <w:vAlign w:val="center"/>
          </w:tcPr>
          <w:p w14:paraId="6D38073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default" w:ascii="Times New Roman" w:hAnsi="Times New Roman" w:eastAsia="宋体" w:cs="Times New Roman"/>
                <w:color w:val="auto"/>
                <w:sz w:val="21"/>
                <w:szCs w:val="21"/>
                <w:highlight w:val="none"/>
              </w:rPr>
              <w:t>dB(A)</w:t>
            </w:r>
          </w:p>
        </w:tc>
        <w:tc>
          <w:tcPr>
            <w:tcW w:w="2558" w:type="dxa"/>
            <w:noWrap w:val="0"/>
            <w:vAlign w:val="center"/>
          </w:tcPr>
          <w:p w14:paraId="46CB319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昼间检测</w:t>
            </w:r>
            <w:r>
              <w:rPr>
                <w:rFonts w:hint="default" w:ascii="Times New Roman" w:hAnsi="Times New Roman" w:eastAsia="宋体" w:cs="Times New Roman"/>
                <w:color w:val="auto"/>
                <w:sz w:val="21"/>
                <w:szCs w:val="21"/>
                <w:highlight w:val="none"/>
              </w:rPr>
              <w:t>1</w:t>
            </w:r>
            <w:r>
              <w:rPr>
                <w:rFonts w:hint="eastAsia" w:ascii="宋体" w:hAnsi="宋体" w:eastAsia="宋体" w:cs="宋体"/>
                <w:color w:val="auto"/>
                <w:sz w:val="21"/>
                <w:szCs w:val="21"/>
                <w:highlight w:val="none"/>
              </w:rPr>
              <w:t>次</w:t>
            </w:r>
          </w:p>
        </w:tc>
        <w:tc>
          <w:tcPr>
            <w:tcW w:w="1705" w:type="dxa"/>
            <w:noWrap w:val="0"/>
            <w:vAlign w:val="center"/>
          </w:tcPr>
          <w:p w14:paraId="12D6AD0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default" w:ascii="Times New Roman" w:hAnsi="Times New Roman" w:eastAsia="宋体" w:cs="Times New Roman"/>
                <w:color w:val="auto"/>
                <w:sz w:val="21"/>
                <w:szCs w:val="21"/>
                <w:highlight w:val="none"/>
              </w:rPr>
              <w:t>2</w:t>
            </w:r>
            <w:r>
              <w:rPr>
                <w:rFonts w:hint="eastAsia" w:ascii="宋体" w:hAnsi="宋体" w:eastAsia="宋体" w:cs="宋体"/>
                <w:color w:val="auto"/>
                <w:sz w:val="21"/>
                <w:szCs w:val="21"/>
                <w:highlight w:val="none"/>
              </w:rPr>
              <w:t>天</w:t>
            </w:r>
          </w:p>
        </w:tc>
      </w:tr>
      <w:tr w14:paraId="1F9C4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4" w:type="dxa"/>
            <w:noWrap w:val="0"/>
            <w:vAlign w:val="center"/>
          </w:tcPr>
          <w:p w14:paraId="24E3760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w:t>
            </w:r>
          </w:p>
        </w:tc>
        <w:tc>
          <w:tcPr>
            <w:tcW w:w="2030" w:type="dxa"/>
            <w:noWrap w:val="0"/>
            <w:vAlign w:val="center"/>
          </w:tcPr>
          <w:p w14:paraId="33C97EF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Times New Roman" w:hAnsi="Times New Roman" w:eastAsia="宋体" w:cs="Times New Roman"/>
                <w:b w:val="0"/>
                <w:bCs w:val="0"/>
                <w:color w:val="auto"/>
                <w:sz w:val="24"/>
                <w:highlight w:val="none"/>
                <w:lang w:val="en-US" w:eastAsia="zh-CN"/>
              </w:rPr>
              <w:t>天才宝贝幼儿园</w:t>
            </w:r>
          </w:p>
        </w:tc>
        <w:tc>
          <w:tcPr>
            <w:tcW w:w="1575" w:type="dxa"/>
            <w:noWrap w:val="0"/>
            <w:vAlign w:val="center"/>
          </w:tcPr>
          <w:p w14:paraId="0C68B46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dB(A)</w:t>
            </w:r>
          </w:p>
        </w:tc>
        <w:tc>
          <w:tcPr>
            <w:tcW w:w="2558" w:type="dxa"/>
            <w:shd w:val="clear" w:color="auto" w:fill="auto"/>
            <w:noWrap w:val="0"/>
            <w:vAlign w:val="center"/>
          </w:tcPr>
          <w:p w14:paraId="0C66A44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昼间检测</w:t>
            </w:r>
            <w:r>
              <w:rPr>
                <w:rFonts w:hint="default" w:ascii="Times New Roman" w:hAnsi="Times New Roman" w:eastAsia="宋体" w:cs="Times New Roman"/>
                <w:color w:val="auto"/>
                <w:sz w:val="21"/>
                <w:szCs w:val="21"/>
                <w:highlight w:val="none"/>
              </w:rPr>
              <w:t>1</w:t>
            </w:r>
            <w:r>
              <w:rPr>
                <w:rFonts w:hint="eastAsia" w:ascii="宋体" w:hAnsi="宋体" w:eastAsia="宋体" w:cs="宋体"/>
                <w:color w:val="auto"/>
                <w:sz w:val="21"/>
                <w:szCs w:val="21"/>
                <w:highlight w:val="none"/>
              </w:rPr>
              <w:t>次</w:t>
            </w:r>
          </w:p>
        </w:tc>
        <w:tc>
          <w:tcPr>
            <w:tcW w:w="1705" w:type="dxa"/>
            <w:shd w:val="clear" w:color="auto" w:fill="auto"/>
            <w:noWrap w:val="0"/>
            <w:vAlign w:val="center"/>
          </w:tcPr>
          <w:p w14:paraId="51979A9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2</w:t>
            </w:r>
            <w:r>
              <w:rPr>
                <w:rFonts w:hint="eastAsia" w:ascii="宋体" w:hAnsi="宋体" w:eastAsia="宋体" w:cs="宋体"/>
                <w:color w:val="auto"/>
                <w:sz w:val="21"/>
                <w:szCs w:val="21"/>
                <w:highlight w:val="none"/>
              </w:rPr>
              <w:t>天</w:t>
            </w:r>
          </w:p>
        </w:tc>
      </w:tr>
      <w:tr w14:paraId="53EBD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4" w:type="dxa"/>
            <w:noWrap w:val="0"/>
            <w:vAlign w:val="center"/>
          </w:tcPr>
          <w:p w14:paraId="2D78686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w:t>
            </w:r>
          </w:p>
        </w:tc>
        <w:tc>
          <w:tcPr>
            <w:tcW w:w="2030" w:type="dxa"/>
            <w:noWrap w:val="0"/>
            <w:vAlign w:val="center"/>
          </w:tcPr>
          <w:p w14:paraId="6886886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Times New Roman" w:hAnsi="Times New Roman" w:eastAsia="宋体" w:cs="Times New Roman"/>
                <w:b w:val="0"/>
                <w:bCs w:val="0"/>
                <w:color w:val="auto"/>
                <w:sz w:val="24"/>
                <w:highlight w:val="none"/>
                <w:lang w:val="en-US" w:eastAsia="zh-CN"/>
              </w:rPr>
              <w:t>尚文小学</w:t>
            </w:r>
          </w:p>
        </w:tc>
        <w:tc>
          <w:tcPr>
            <w:tcW w:w="1575" w:type="dxa"/>
            <w:noWrap w:val="0"/>
            <w:vAlign w:val="center"/>
          </w:tcPr>
          <w:p w14:paraId="0EA5244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dB(A)</w:t>
            </w:r>
          </w:p>
        </w:tc>
        <w:tc>
          <w:tcPr>
            <w:tcW w:w="2558" w:type="dxa"/>
            <w:shd w:val="clear" w:color="auto" w:fill="auto"/>
            <w:noWrap w:val="0"/>
            <w:vAlign w:val="center"/>
          </w:tcPr>
          <w:p w14:paraId="7E40D4B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昼间检测</w:t>
            </w:r>
            <w:r>
              <w:rPr>
                <w:rFonts w:hint="default" w:ascii="Times New Roman" w:hAnsi="Times New Roman" w:eastAsia="宋体" w:cs="Times New Roman"/>
                <w:color w:val="auto"/>
                <w:sz w:val="21"/>
                <w:szCs w:val="21"/>
                <w:highlight w:val="none"/>
              </w:rPr>
              <w:t>1</w:t>
            </w:r>
            <w:r>
              <w:rPr>
                <w:rFonts w:hint="eastAsia" w:ascii="宋体" w:hAnsi="宋体" w:eastAsia="宋体" w:cs="宋体"/>
                <w:color w:val="auto"/>
                <w:sz w:val="21"/>
                <w:szCs w:val="21"/>
                <w:highlight w:val="none"/>
              </w:rPr>
              <w:t>次</w:t>
            </w:r>
          </w:p>
        </w:tc>
        <w:tc>
          <w:tcPr>
            <w:tcW w:w="1705" w:type="dxa"/>
            <w:shd w:val="clear" w:color="auto" w:fill="auto"/>
            <w:noWrap w:val="0"/>
            <w:vAlign w:val="center"/>
          </w:tcPr>
          <w:p w14:paraId="51D24FD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2</w:t>
            </w:r>
            <w:r>
              <w:rPr>
                <w:rFonts w:hint="eastAsia" w:ascii="宋体" w:hAnsi="宋体" w:eastAsia="宋体" w:cs="宋体"/>
                <w:color w:val="auto"/>
                <w:sz w:val="21"/>
                <w:szCs w:val="21"/>
                <w:highlight w:val="none"/>
              </w:rPr>
              <w:t>天</w:t>
            </w:r>
          </w:p>
        </w:tc>
      </w:tr>
    </w:tbl>
    <w:p w14:paraId="46063FA2">
      <w:pPr>
        <w:pStyle w:val="9"/>
        <w:rPr>
          <w:highlight w:val="none"/>
        </w:rPr>
      </w:pPr>
    </w:p>
    <w:p w14:paraId="2C25E1C7">
      <w:pPr>
        <w:pStyle w:val="4"/>
        <w:spacing w:line="360" w:lineRule="auto"/>
        <w:outlineLvl w:val="9"/>
        <w:rPr>
          <w:color w:val="000000" w:themeColor="text1"/>
          <w:highlight w:val="none"/>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7DBC4C7F">
      <w:pPr>
        <w:pStyle w:val="9"/>
        <w:spacing w:before="156" w:beforeLines="50"/>
        <w:ind w:left="0" w:leftChars="0" w:firstLine="0" w:firstLineChars="0"/>
        <w:jc w:val="both"/>
        <w:rPr>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sz w:val="21"/>
          <w:highlight w:val="none"/>
        </w:rPr>
        <mc:AlternateContent>
          <mc:Choice Requires="wps">
            <w:drawing>
              <wp:anchor distT="0" distB="0" distL="114300" distR="114300" simplePos="0" relativeHeight="251659264" behindDoc="0" locked="0" layoutInCell="1" allowOverlap="1">
                <wp:simplePos x="0" y="0"/>
                <wp:positionH relativeFrom="column">
                  <wp:posOffset>907415</wp:posOffset>
                </wp:positionH>
                <wp:positionV relativeFrom="paragraph">
                  <wp:posOffset>5779770</wp:posOffset>
                </wp:positionV>
                <wp:extent cx="3209290" cy="504825"/>
                <wp:effectExtent l="0" t="0" r="0" b="0"/>
                <wp:wrapNone/>
                <wp:docPr id="143" name="矩形 143"/>
                <wp:cNvGraphicFramePr/>
                <a:graphic xmlns:a="http://schemas.openxmlformats.org/drawingml/2006/main">
                  <a:graphicData uri="http://schemas.microsoft.com/office/word/2010/wordprocessingShape">
                    <wps:wsp>
                      <wps:cNvSpPr/>
                      <wps:spPr>
                        <a:xfrm>
                          <a:off x="2033270" y="7064375"/>
                          <a:ext cx="3209290" cy="5048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11D755">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default" w:ascii="Times New Roman" w:hAnsi="Times New Roman" w:eastAsia="宋体" w:cs="Times New Roman"/>
                                <w:b/>
                                <w:bCs/>
                                <w:color w:val="000000" w:themeColor="text1"/>
                                <w:sz w:val="24"/>
                                <w:highlight w:val="none"/>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default" w:ascii="Times New Roman" w:hAnsi="Times New Roman" w:eastAsia="宋体" w:cs="Times New Roman"/>
                                <w:b/>
                                <w:bCs/>
                                <w:color w:val="000000" w:themeColor="text1"/>
                                <w:sz w:val="24"/>
                                <w:highlight w:val="none"/>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图7-1</w:t>
                            </w:r>
                            <w:r>
                              <w:rPr>
                                <w:rFonts w:hint="eastAsia" w:ascii="Times New Roman" w:hAnsi="Times New Roman" w:eastAsia="宋体" w:cs="Times New Roman"/>
                                <w:b/>
                                <w:bCs/>
                                <w:color w:val="000000" w:themeColor="text1"/>
                                <w:sz w:val="24"/>
                                <w:highlight w:val="none"/>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 xml:space="preserve">   </w:t>
                            </w:r>
                            <w:r>
                              <w:rPr>
                                <w:rFonts w:hint="default" w:ascii="Times New Roman" w:hAnsi="Times New Roman" w:eastAsia="宋体" w:cs="Times New Roman"/>
                                <w:b/>
                                <w:bCs/>
                                <w:color w:val="000000" w:themeColor="text1"/>
                                <w:sz w:val="24"/>
                                <w:highlight w:val="none"/>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项目验收监测布点图</w:t>
                            </w:r>
                          </w:p>
                          <w:p w14:paraId="60085687">
                            <w:pPr>
                              <w:pStyle w:val="9"/>
                              <w:spacing w:before="156" w:beforeLines="50"/>
                              <w:ind w:firstLine="482"/>
                              <w:jc w:val="center"/>
                              <w:rPr>
                                <w:b/>
                                <w:bCs/>
                                <w:color w:val="000000" w:themeColor="text1"/>
                                <w:sz w:val="24"/>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b/>
                                <w:bCs/>
                                <w:color w:val="000000" w:themeColor="text1"/>
                                <w:sz w:val="24"/>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7-1项目验收监测布点图</w:t>
                            </w:r>
                          </w:p>
                          <w:p w14:paraId="7F9C5F80">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1.45pt;margin-top:455.1pt;height:39.75pt;width:252.7pt;z-index:251659264;v-text-anchor:middle;mso-width-relative:page;mso-height-relative:page;" filled="f" stroked="f" coordsize="21600,21600" o:gfxdata="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Cyy4i02QAAAAsBAAAPAAAAAAAAAAEAIAAAACIAAABkcnMvZG93bnJldi54bWxQSwECFAAU&#10;AAAACACHTuJAquzTAWICAACmBAAADgAAAAAAAAABACAAAAAoAQAAZHJzL2Uyb0RvYy54bWxQSwUG&#10;AAAAAAYABgBZAQAA/AUAAAAA&#10;">
                <v:fill on="f" focussize="0,0"/>
                <v:stroke on="f" weight="2pt"/>
                <v:imagedata o:title=""/>
                <o:lock v:ext="edit" aspectratio="f"/>
                <v:textbox>
                  <w:txbxContent>
                    <w:p w14:paraId="0911D755">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default" w:ascii="Times New Roman" w:hAnsi="Times New Roman" w:eastAsia="宋体" w:cs="Times New Roman"/>
                          <w:b/>
                          <w:bCs/>
                          <w:color w:val="000000" w:themeColor="text1"/>
                          <w:sz w:val="24"/>
                          <w:highlight w:val="none"/>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default" w:ascii="Times New Roman" w:hAnsi="Times New Roman" w:eastAsia="宋体" w:cs="Times New Roman"/>
                          <w:b/>
                          <w:bCs/>
                          <w:color w:val="000000" w:themeColor="text1"/>
                          <w:sz w:val="24"/>
                          <w:highlight w:val="none"/>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图7-1</w:t>
                      </w:r>
                      <w:r>
                        <w:rPr>
                          <w:rFonts w:hint="eastAsia" w:ascii="Times New Roman" w:hAnsi="Times New Roman" w:eastAsia="宋体" w:cs="Times New Roman"/>
                          <w:b/>
                          <w:bCs/>
                          <w:color w:val="000000" w:themeColor="text1"/>
                          <w:sz w:val="24"/>
                          <w:highlight w:val="none"/>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 xml:space="preserve">   </w:t>
                      </w:r>
                      <w:r>
                        <w:rPr>
                          <w:rFonts w:hint="default" w:ascii="Times New Roman" w:hAnsi="Times New Roman" w:eastAsia="宋体" w:cs="Times New Roman"/>
                          <w:b/>
                          <w:bCs/>
                          <w:color w:val="000000" w:themeColor="text1"/>
                          <w:sz w:val="24"/>
                          <w:highlight w:val="none"/>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项目验收监测布点图</w:t>
                      </w:r>
                    </w:p>
                    <w:p w14:paraId="60085687">
                      <w:pPr>
                        <w:pStyle w:val="9"/>
                        <w:spacing w:before="156" w:beforeLines="50"/>
                        <w:ind w:firstLine="482"/>
                        <w:jc w:val="center"/>
                        <w:rPr>
                          <w:b/>
                          <w:bCs/>
                          <w:color w:val="000000" w:themeColor="text1"/>
                          <w:sz w:val="24"/>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b/>
                          <w:bCs/>
                          <w:color w:val="000000" w:themeColor="text1"/>
                          <w:sz w:val="24"/>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7-1项目验收监测布点图</w:t>
                      </w:r>
                    </w:p>
                    <w:p w14:paraId="7F9C5F80">
                      <w:pPr>
                        <w:jc w:val="center"/>
                      </w:pPr>
                    </w:p>
                  </w:txbxContent>
                </v:textbox>
              </v:rect>
            </w:pict>
          </mc:Fallback>
        </mc:AlternateContent>
      </w:r>
      <w:r>
        <w:rPr>
          <w:rFonts w:hint="default" w:ascii="Times New Roman" w:hAnsi="Times New Roman" w:eastAsia="宋体" w:cs="Times New Roman"/>
          <w:color w:val="auto"/>
          <w:sz w:val="24"/>
          <w:szCs w:val="24"/>
          <w:highlight w:val="none"/>
        </w:rPr>
        <mc:AlternateContent>
          <mc:Choice Requires="wpc">
            <w:drawing>
              <wp:anchor distT="0" distB="0" distL="114300" distR="114300" simplePos="0" relativeHeight="251672576" behindDoc="0" locked="0" layoutInCell="1" allowOverlap="1">
                <wp:simplePos x="0" y="0"/>
                <wp:positionH relativeFrom="column">
                  <wp:posOffset>-406400</wp:posOffset>
                </wp:positionH>
                <wp:positionV relativeFrom="page">
                  <wp:posOffset>994410</wp:posOffset>
                </wp:positionV>
                <wp:extent cx="6134100" cy="5622925"/>
                <wp:effectExtent l="5080" t="4445" r="13970" b="11430"/>
                <wp:wrapTopAndBottom/>
                <wp:docPr id="67" name="画布 67"/>
                <wp:cNvGraphicFramePr/>
                <a:graphic xmlns:a="http://schemas.openxmlformats.org/drawingml/2006/main">
                  <a:graphicData uri="http://schemas.microsoft.com/office/word/2010/wordprocessingCanvas">
                    <wpc:wpc>
                      <wpc:bg>
                        <a:noFill/>
                      </wpc:bg>
                      <wpc:whole>
                        <a:ln w="6350" cap="flat" cmpd="sng">
                          <a:solidFill>
                            <a:srgbClr val="000000"/>
                          </a:solidFill>
                          <a:prstDash val="solid"/>
                          <a:miter/>
                          <a:headEnd type="none" w="med" len="med"/>
                          <a:tailEnd type="none" w="med" len="med"/>
                        </a:ln>
                      </wpc:whole>
                      <wps:wsp>
                        <wps:cNvPr id="68" name="文本框 41"/>
                        <wps:cNvSpPr txBox="1"/>
                        <wps:spPr>
                          <a:xfrm>
                            <a:off x="179705" y="179705"/>
                            <a:ext cx="1028700" cy="355601"/>
                          </a:xfrm>
                          <a:prstGeom prst="rect">
                            <a:avLst/>
                          </a:prstGeom>
                          <a:noFill/>
                          <a:ln>
                            <a:noFill/>
                          </a:ln>
                        </wps:spPr>
                        <wps:txbx>
                          <w:txbxContent>
                            <w:p w14:paraId="579FAFF6">
                              <w:pPr>
                                <w:rPr>
                                  <w:rFonts w:hint="eastAsia" w:ascii="宋体" w:hAnsi="宋体" w:eastAsia="宋体" w:cs="宋体"/>
                                  <w:lang w:val="en-US" w:eastAsia="zh-CN"/>
                                </w:rPr>
                              </w:pPr>
                              <w:r>
                                <w:rPr>
                                  <w:rFonts w:hint="eastAsia" w:ascii="宋体" w:hAnsi="宋体" w:eastAsia="宋体" w:cs="宋体"/>
                                  <w:lang w:val="en-US" w:eastAsia="zh-CN"/>
                                </w:rPr>
                                <w:t>风向：东</w:t>
                              </w:r>
                              <w:r>
                                <w:rPr>
                                  <w:rFonts w:hint="eastAsia" w:ascii="宋体" w:hAnsi="宋体" w:eastAsia="宋体" w:cs="宋体"/>
                                  <w:color w:val="auto"/>
                                  <w:lang w:val="en-US" w:eastAsia="zh-CN"/>
                                </w:rPr>
                                <w:t>风</w:t>
                              </w:r>
                            </w:p>
                          </w:txbxContent>
                        </wps:txbx>
                        <wps:bodyPr upright="1"/>
                      </wps:wsp>
                      <wps:wsp>
                        <wps:cNvPr id="69" name="文本框 42"/>
                        <wps:cNvSpPr txBox="1"/>
                        <wps:spPr>
                          <a:xfrm>
                            <a:off x="4850130" y="1498600"/>
                            <a:ext cx="444499" cy="279399"/>
                          </a:xfrm>
                          <a:prstGeom prst="rect">
                            <a:avLst/>
                          </a:prstGeom>
                          <a:noFill/>
                          <a:ln>
                            <a:noFill/>
                          </a:ln>
                        </wps:spPr>
                        <wps:txbx>
                          <w:txbxContent>
                            <w:p w14:paraId="23D0E25D">
                              <w:pPr>
                                <w:rPr>
                                  <w:rFonts w:hint="default" w:ascii="Times New Roman" w:hAnsi="Times New Roman" w:cs="Times New Roman"/>
                                </w:rPr>
                              </w:pPr>
                              <w:r>
                                <w:rPr>
                                  <w:rFonts w:hint="eastAsia" w:ascii="宋体" w:hAnsi="宋体" w:eastAsia="宋体" w:cs="宋体"/>
                                  <w:sz w:val="18"/>
                                  <w:szCs w:val="18"/>
                                </w:rPr>
                                <w:t>○</w:t>
                              </w:r>
                              <w:r>
                                <w:rPr>
                                  <w:rFonts w:hint="eastAsia" w:ascii="Times New Roman" w:hAnsi="Times New Roman" w:eastAsia="宋体" w:cs="Times New Roman"/>
                                  <w:lang w:val="en-US" w:eastAsia="zh-CN"/>
                                </w:rPr>
                                <w:t>3</w:t>
                              </w:r>
                              <w:r>
                                <w:rPr>
                                  <w:rFonts w:hint="default" w:ascii="Times New Roman" w:hAnsi="Times New Roman" w:cs="Times New Roman"/>
                                  <w:vertAlign w:val="superscript"/>
                                </w:rPr>
                                <w:t>#</w:t>
                              </w:r>
                            </w:p>
                          </w:txbxContent>
                        </wps:txbx>
                        <wps:bodyPr upright="1"/>
                      </wps:wsp>
                      <wps:wsp>
                        <wps:cNvPr id="70" name="文本框 43"/>
                        <wps:cNvSpPr txBox="1"/>
                        <wps:spPr>
                          <a:xfrm>
                            <a:off x="4925061" y="151765"/>
                            <a:ext cx="635000" cy="419101"/>
                          </a:xfrm>
                          <a:prstGeom prst="rect">
                            <a:avLst/>
                          </a:prstGeom>
                          <a:noFill/>
                          <a:ln>
                            <a:noFill/>
                          </a:ln>
                        </wps:spPr>
                        <wps:txbx>
                          <w:txbxContent>
                            <w:p w14:paraId="52B7F952">
                              <w:r>
                                <w:rPr>
                                  <w:rFonts w:hint="eastAsia"/>
                                </w:rPr>
                                <w:t xml:space="preserve">    北</w:t>
                              </w:r>
                            </w:p>
                          </w:txbxContent>
                        </wps:txbx>
                        <wps:bodyPr upright="1"/>
                      </wps:wsp>
                      <wps:wsp>
                        <wps:cNvPr id="71" name="直接箭头连接符 44"/>
                        <wps:cNvCnPr/>
                        <wps:spPr>
                          <a:xfrm flipV="1">
                            <a:off x="5187952" y="165735"/>
                            <a:ext cx="0" cy="241300"/>
                          </a:xfrm>
                          <a:prstGeom prst="straightConnector1">
                            <a:avLst/>
                          </a:prstGeom>
                          <a:ln w="9525" cap="flat" cmpd="sng">
                            <a:solidFill>
                              <a:srgbClr val="000000"/>
                            </a:solidFill>
                            <a:prstDash val="solid"/>
                            <a:headEnd type="none" w="med" len="med"/>
                            <a:tailEnd type="triangle" w="med" len="med"/>
                          </a:ln>
                        </wps:spPr>
                        <wps:bodyPr/>
                      </wps:wsp>
                      <wps:wsp>
                        <wps:cNvPr id="72" name="文本框 45"/>
                        <wps:cNvSpPr txBox="1"/>
                        <wps:spPr>
                          <a:xfrm>
                            <a:off x="279400" y="4521201"/>
                            <a:ext cx="5822950" cy="927734"/>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16087CCF">
                              <w:pPr>
                                <w:rPr>
                                  <w:rFonts w:hint="default" w:ascii="Times New Roman" w:hAnsi="Times New Roman" w:eastAsia="宋体" w:cs="Times New Roman"/>
                                </w:rPr>
                              </w:pPr>
                              <w:r>
                                <w:rPr>
                                  <w:rFonts w:hint="default" w:ascii="Times New Roman" w:hAnsi="Times New Roman" w:eastAsia="宋体" w:cs="Times New Roman"/>
                                </w:rPr>
                                <w:t>注：</w:t>
                              </w:r>
                              <w:r>
                                <w:rPr>
                                  <w:rFonts w:hint="eastAsia" w:ascii="宋体" w:hAnsi="宋体" w:eastAsia="宋体" w:cs="宋体"/>
                                  <w:sz w:val="18"/>
                                  <w:szCs w:val="18"/>
                                </w:rPr>
                                <w:t>○</w:t>
                              </w:r>
                              <w:r>
                                <w:rPr>
                                  <w:rFonts w:hint="default" w:ascii="Times New Roman" w:hAnsi="Times New Roman" w:eastAsia="宋体" w:cs="Times New Roman"/>
                                </w:rPr>
                                <w:t>代表无组织废气检测点位，△代表噪声源，</w:t>
                              </w:r>
                              <w:r>
                                <w:rPr>
                                  <w:rFonts w:hint="default" w:ascii="Times New Roman" w:hAnsi="Times New Roman" w:eastAsia="宋体" w:cs="Times New Roman"/>
                                  <w:sz w:val="18"/>
                                  <w:szCs w:val="18"/>
                                </w:rPr>
                                <w:t>▲</w:t>
                              </w:r>
                              <w:r>
                                <w:rPr>
                                  <w:rFonts w:hint="default" w:ascii="Times New Roman" w:hAnsi="Times New Roman" w:eastAsia="宋体" w:cs="Times New Roman"/>
                                </w:rPr>
                                <w:t>代表噪声检测</w:t>
                              </w:r>
                              <w:r>
                                <w:rPr>
                                  <w:rFonts w:hint="default" w:ascii="Times New Roman" w:hAnsi="Times New Roman" w:eastAsia="宋体" w:cs="Times New Roman"/>
                                  <w:color w:val="auto"/>
                                </w:rPr>
                                <w:t>点位。检测期间环境条件：20</w:t>
                              </w:r>
                              <w:r>
                                <w:rPr>
                                  <w:rFonts w:hint="default" w:ascii="Times New Roman" w:hAnsi="Times New Roman" w:eastAsia="宋体" w:cs="Times New Roman"/>
                                  <w:color w:val="auto"/>
                                  <w:lang w:val="en-US" w:eastAsia="zh-CN"/>
                                </w:rPr>
                                <w:t>2</w:t>
                              </w:r>
                              <w:r>
                                <w:rPr>
                                  <w:rFonts w:hint="eastAsia" w:ascii="Times New Roman" w:hAnsi="Times New Roman" w:eastAsia="宋体" w:cs="Times New Roman"/>
                                  <w:color w:val="auto"/>
                                  <w:lang w:val="en-US" w:eastAsia="zh-CN"/>
                                </w:rPr>
                                <w:t>6</w:t>
                              </w:r>
                              <w:r>
                                <w:rPr>
                                  <w:rFonts w:hint="default" w:ascii="Times New Roman" w:hAnsi="Times New Roman" w:eastAsia="宋体" w:cs="Times New Roman"/>
                                  <w:color w:val="auto"/>
                                </w:rPr>
                                <w:t>年</w:t>
                              </w:r>
                              <w:r>
                                <w:rPr>
                                  <w:rFonts w:hint="eastAsia" w:ascii="Times New Roman" w:hAnsi="Times New Roman" w:eastAsia="宋体" w:cs="Times New Roman"/>
                                  <w:color w:val="auto"/>
                                  <w:lang w:val="en-US" w:eastAsia="zh-CN"/>
                                </w:rPr>
                                <w:t>03</w:t>
                              </w:r>
                              <w:r>
                                <w:rPr>
                                  <w:rFonts w:hint="default" w:ascii="Times New Roman" w:hAnsi="Times New Roman" w:eastAsia="宋体" w:cs="Times New Roman"/>
                                  <w:color w:val="auto"/>
                                </w:rPr>
                                <w:t>月</w:t>
                              </w:r>
                              <w:r>
                                <w:rPr>
                                  <w:rFonts w:hint="eastAsia" w:ascii="Times New Roman" w:hAnsi="Times New Roman" w:eastAsia="宋体" w:cs="Times New Roman"/>
                                  <w:color w:val="auto"/>
                                  <w:lang w:val="en-US" w:eastAsia="zh-CN"/>
                                </w:rPr>
                                <w:t>23</w:t>
                              </w:r>
                              <w:r>
                                <w:rPr>
                                  <w:rFonts w:hint="default" w:ascii="Times New Roman" w:hAnsi="Times New Roman" w:eastAsia="宋体" w:cs="Times New Roman"/>
                                  <w:color w:val="auto"/>
                                </w:rPr>
                                <w:t>日：昼间：</w:t>
                              </w:r>
                              <w:r>
                                <w:rPr>
                                  <w:rFonts w:hint="eastAsia" w:ascii="Times New Roman" w:hAnsi="Times New Roman" w:eastAsia="宋体" w:cs="Times New Roman"/>
                                  <w:color w:val="auto"/>
                                  <w:lang w:val="en-US" w:eastAsia="zh-CN"/>
                                </w:rPr>
                                <w:t>晴</w:t>
                              </w:r>
                              <w:r>
                                <w:rPr>
                                  <w:rFonts w:hint="default" w:ascii="Times New Roman" w:hAnsi="Times New Roman" w:eastAsia="宋体" w:cs="Times New Roman"/>
                                  <w:color w:val="auto"/>
                                </w:rPr>
                                <w:t>，风速:</w:t>
                              </w:r>
                              <w:r>
                                <w:rPr>
                                  <w:rFonts w:hint="eastAsia" w:ascii="Times New Roman" w:hAnsi="Times New Roman" w:eastAsia="宋体" w:cs="Times New Roman"/>
                                  <w:color w:val="auto"/>
                                  <w:lang w:val="en-US" w:eastAsia="zh-CN"/>
                                </w:rPr>
                                <w:t>3.9</w:t>
                              </w:r>
                              <w:r>
                                <w:rPr>
                                  <w:rFonts w:hint="default" w:ascii="Times New Roman" w:hAnsi="Times New Roman" w:eastAsia="宋体" w:cs="Times New Roman"/>
                                  <w:color w:val="auto"/>
                                </w:rPr>
                                <w:t>m/s</w:t>
                              </w:r>
                              <w:r>
                                <w:rPr>
                                  <w:rFonts w:hint="eastAsia" w:ascii="Times New Roman" w:hAnsi="Times New Roman" w:eastAsia="宋体" w:cs="Times New Roman"/>
                                  <w:color w:val="auto"/>
                                  <w:lang w:eastAsia="zh-CN"/>
                                </w:rPr>
                                <w:t>。环境温度：</w:t>
                              </w:r>
                              <w:r>
                                <w:rPr>
                                  <w:rFonts w:hint="eastAsia" w:ascii="Times New Roman" w:hAnsi="Times New Roman" w:eastAsia="宋体" w:cs="Times New Roman"/>
                                  <w:color w:val="auto"/>
                                  <w:lang w:val="en-US" w:eastAsia="zh-CN"/>
                                </w:rPr>
                                <w:t>12.8</w:t>
                              </w:r>
                              <w:r>
                                <w:rPr>
                                  <w:rFonts w:hint="eastAsia" w:ascii="Times New Roman" w:hAnsi="Times New Roman" w:eastAsia="宋体" w:cs="Times New Roman"/>
                                  <w:color w:val="auto"/>
                                  <w:lang w:eastAsia="zh-CN"/>
                                </w:rPr>
                                <w:t>℃，湿度</w:t>
                              </w:r>
                              <w:r>
                                <w:rPr>
                                  <w:rFonts w:hint="eastAsia" w:ascii="Times New Roman" w:hAnsi="Times New Roman" w:eastAsia="宋体" w:cs="Times New Roman"/>
                                  <w:color w:val="auto"/>
                                  <w:lang w:val="en-US" w:eastAsia="zh-CN"/>
                                </w:rPr>
                                <w:t>31</w:t>
                              </w:r>
                              <w:r>
                                <w:rPr>
                                  <w:rFonts w:hint="eastAsia" w:ascii="Times New Roman" w:hAnsi="Times New Roman" w:eastAsia="宋体" w:cs="Times New Roman"/>
                                  <w:color w:val="auto"/>
                                  <w:lang w:eastAsia="zh-CN"/>
                                </w:rPr>
                                <w:t>%，气压：1</w:t>
                              </w:r>
                              <w:r>
                                <w:rPr>
                                  <w:rFonts w:hint="eastAsia" w:ascii="Times New Roman" w:hAnsi="Times New Roman" w:eastAsia="宋体" w:cs="Times New Roman"/>
                                  <w:color w:val="auto"/>
                                  <w:lang w:val="en-US" w:eastAsia="zh-CN"/>
                                </w:rPr>
                                <w:t>01.4</w:t>
                              </w:r>
                              <w:r>
                                <w:rPr>
                                  <w:rFonts w:hint="eastAsia" w:ascii="Times New Roman" w:hAnsi="Times New Roman" w:eastAsia="宋体" w:cs="Times New Roman"/>
                                  <w:color w:val="auto"/>
                                  <w:lang w:eastAsia="zh-CN"/>
                                </w:rPr>
                                <w:t>kPa。</w:t>
                              </w:r>
                              <w:r>
                                <w:rPr>
                                  <w:rFonts w:hint="default" w:ascii="Times New Roman" w:hAnsi="Times New Roman" w:eastAsia="宋体" w:cs="Times New Roman"/>
                                  <w:color w:val="auto"/>
                                </w:rPr>
                                <w:t>20</w:t>
                              </w:r>
                              <w:r>
                                <w:rPr>
                                  <w:rFonts w:hint="default" w:ascii="Times New Roman" w:hAnsi="Times New Roman" w:eastAsia="宋体" w:cs="Times New Roman"/>
                                  <w:color w:val="auto"/>
                                  <w:lang w:val="en-US" w:eastAsia="zh-CN"/>
                                </w:rPr>
                                <w:t>2</w:t>
                              </w:r>
                              <w:r>
                                <w:rPr>
                                  <w:rFonts w:hint="eastAsia" w:ascii="Times New Roman" w:hAnsi="Times New Roman" w:eastAsia="宋体" w:cs="Times New Roman"/>
                                  <w:color w:val="auto"/>
                                  <w:lang w:val="en-US" w:eastAsia="zh-CN"/>
                                </w:rPr>
                                <w:t>6</w:t>
                              </w:r>
                              <w:r>
                                <w:rPr>
                                  <w:rFonts w:hint="default" w:ascii="Times New Roman" w:hAnsi="Times New Roman" w:eastAsia="宋体" w:cs="Times New Roman"/>
                                  <w:color w:val="auto"/>
                                </w:rPr>
                                <w:t>年</w:t>
                              </w:r>
                              <w:r>
                                <w:rPr>
                                  <w:rFonts w:hint="eastAsia" w:ascii="Times New Roman" w:hAnsi="Times New Roman" w:eastAsia="宋体" w:cs="Times New Roman"/>
                                  <w:color w:val="auto"/>
                                  <w:lang w:val="en-US" w:eastAsia="zh-CN"/>
                                </w:rPr>
                                <w:t>03</w:t>
                              </w:r>
                              <w:r>
                                <w:rPr>
                                  <w:rFonts w:hint="default" w:ascii="Times New Roman" w:hAnsi="Times New Roman" w:eastAsia="宋体" w:cs="Times New Roman"/>
                                  <w:color w:val="auto"/>
                                </w:rPr>
                                <w:t>月</w:t>
                              </w:r>
                              <w:r>
                                <w:rPr>
                                  <w:rFonts w:hint="eastAsia" w:ascii="Times New Roman" w:hAnsi="Times New Roman" w:eastAsia="宋体" w:cs="Times New Roman"/>
                                  <w:color w:val="auto"/>
                                  <w:lang w:val="en-US" w:eastAsia="zh-CN"/>
                                </w:rPr>
                                <w:t>24</w:t>
                              </w:r>
                              <w:r>
                                <w:rPr>
                                  <w:rFonts w:hint="default" w:ascii="Times New Roman" w:hAnsi="Times New Roman" w:eastAsia="宋体" w:cs="Times New Roman"/>
                                  <w:color w:val="auto"/>
                                </w:rPr>
                                <w:t>日：昼间：</w:t>
                              </w:r>
                              <w:r>
                                <w:rPr>
                                  <w:rFonts w:hint="eastAsia" w:ascii="Times New Roman" w:hAnsi="Times New Roman" w:eastAsia="宋体" w:cs="Times New Roman"/>
                                  <w:color w:val="auto"/>
                                  <w:lang w:val="en-US" w:eastAsia="zh-CN"/>
                                </w:rPr>
                                <w:t>晴</w:t>
                              </w:r>
                              <w:r>
                                <w:rPr>
                                  <w:rFonts w:hint="default" w:ascii="Times New Roman" w:hAnsi="Times New Roman" w:eastAsia="宋体" w:cs="Times New Roman"/>
                                  <w:color w:val="auto"/>
                                </w:rPr>
                                <w:t>，风速:</w:t>
                              </w:r>
                              <w:r>
                                <w:rPr>
                                  <w:rFonts w:hint="eastAsia" w:ascii="Times New Roman" w:hAnsi="Times New Roman" w:eastAsia="宋体" w:cs="Times New Roman"/>
                                  <w:color w:val="auto"/>
                                  <w:lang w:val="en-US" w:eastAsia="zh-CN"/>
                                </w:rPr>
                                <w:t>3.8</w:t>
                              </w:r>
                              <w:r>
                                <w:rPr>
                                  <w:rFonts w:hint="default" w:ascii="Times New Roman" w:hAnsi="Times New Roman" w:eastAsia="宋体" w:cs="Times New Roman"/>
                                  <w:color w:val="auto"/>
                                </w:rPr>
                                <w:t>m/s</w:t>
                              </w:r>
                              <w:r>
                                <w:rPr>
                                  <w:rFonts w:hint="eastAsia" w:ascii="Times New Roman" w:hAnsi="Times New Roman" w:eastAsia="宋体" w:cs="Times New Roman"/>
                                  <w:color w:val="auto"/>
                                  <w:lang w:eastAsia="zh-CN"/>
                                </w:rPr>
                                <w:t>。环境温度：</w:t>
                              </w:r>
                              <w:r>
                                <w:rPr>
                                  <w:rFonts w:hint="eastAsia" w:ascii="Times New Roman" w:hAnsi="Times New Roman" w:eastAsia="宋体" w:cs="Times New Roman"/>
                                  <w:color w:val="auto"/>
                                  <w:lang w:val="en-US" w:eastAsia="zh-CN"/>
                                </w:rPr>
                                <w:t>13.5</w:t>
                              </w:r>
                              <w:r>
                                <w:rPr>
                                  <w:rFonts w:hint="eastAsia" w:ascii="Times New Roman" w:hAnsi="Times New Roman" w:eastAsia="宋体" w:cs="Times New Roman"/>
                                  <w:color w:val="auto"/>
                                  <w:lang w:eastAsia="zh-CN"/>
                                </w:rPr>
                                <w:t>℃，湿度</w:t>
                              </w:r>
                              <w:r>
                                <w:rPr>
                                  <w:rFonts w:hint="eastAsia" w:ascii="Times New Roman" w:hAnsi="Times New Roman" w:eastAsia="宋体" w:cs="Times New Roman"/>
                                  <w:color w:val="auto"/>
                                  <w:lang w:val="en-US" w:eastAsia="zh-CN"/>
                                </w:rPr>
                                <w:t>33</w:t>
                              </w:r>
                              <w:r>
                                <w:rPr>
                                  <w:rFonts w:hint="eastAsia" w:ascii="Times New Roman" w:hAnsi="Times New Roman" w:eastAsia="宋体" w:cs="Times New Roman"/>
                                  <w:color w:val="auto"/>
                                  <w:lang w:eastAsia="zh-CN"/>
                                </w:rPr>
                                <w:t>%，气压：1</w:t>
                              </w:r>
                              <w:r>
                                <w:rPr>
                                  <w:rFonts w:hint="eastAsia" w:ascii="Times New Roman" w:hAnsi="Times New Roman" w:eastAsia="宋体" w:cs="Times New Roman"/>
                                  <w:color w:val="auto"/>
                                  <w:lang w:val="en-US" w:eastAsia="zh-CN"/>
                                </w:rPr>
                                <w:t>01.6</w:t>
                              </w:r>
                              <w:r>
                                <w:rPr>
                                  <w:rFonts w:hint="eastAsia" w:ascii="Times New Roman" w:hAnsi="Times New Roman" w:eastAsia="宋体" w:cs="Times New Roman"/>
                                  <w:color w:val="auto"/>
                                  <w:lang w:eastAsia="zh-CN"/>
                                </w:rPr>
                                <w:t>kPa。</w:t>
                              </w:r>
                            </w:p>
                          </w:txbxContent>
                        </wps:txbx>
                        <wps:bodyPr upright="1"/>
                      </wps:wsp>
                      <wps:wsp>
                        <wps:cNvPr id="73" name="文本框 46"/>
                        <wps:cNvSpPr txBox="1"/>
                        <wps:spPr>
                          <a:xfrm>
                            <a:off x="1864995" y="1417320"/>
                            <a:ext cx="444500" cy="279399"/>
                          </a:xfrm>
                          <a:prstGeom prst="rect">
                            <a:avLst/>
                          </a:prstGeom>
                          <a:noFill/>
                          <a:ln>
                            <a:noFill/>
                          </a:ln>
                        </wps:spPr>
                        <wps:txbx>
                          <w:txbxContent>
                            <w:p w14:paraId="13996A13">
                              <w:pPr>
                                <w:rPr>
                                  <w:rFonts w:hint="default" w:ascii="Times New Roman" w:hAnsi="Times New Roman" w:cs="Times New Roman"/>
                                  <w:color w:val="auto"/>
                                </w:rPr>
                              </w:pPr>
                              <w:r>
                                <w:rPr>
                                  <w:rFonts w:hint="eastAsia" w:ascii="宋体" w:hAnsi="宋体" w:eastAsia="宋体" w:cs="宋体"/>
                                  <w:color w:val="auto"/>
                                  <w:sz w:val="18"/>
                                  <w:szCs w:val="18"/>
                                </w:rPr>
                                <w:t>○</w:t>
                              </w:r>
                              <w:r>
                                <w:rPr>
                                  <w:rFonts w:hint="eastAsia" w:ascii="Times New Roman" w:hAnsi="Times New Roman" w:eastAsia="宋体" w:cs="Times New Roman"/>
                                  <w:color w:val="auto"/>
                                  <w:lang w:val="en-US" w:eastAsia="zh-CN"/>
                                </w:rPr>
                                <w:t>1</w:t>
                              </w:r>
                              <w:r>
                                <w:rPr>
                                  <w:rFonts w:hint="default" w:ascii="Times New Roman" w:hAnsi="Times New Roman" w:cs="Times New Roman"/>
                                  <w:color w:val="auto"/>
                                  <w:vertAlign w:val="superscript"/>
                                </w:rPr>
                                <w:t>#</w:t>
                              </w:r>
                            </w:p>
                          </w:txbxContent>
                        </wps:txbx>
                        <wps:bodyPr upright="1"/>
                      </wps:wsp>
                      <wps:wsp>
                        <wps:cNvPr id="74" name="文本框 47"/>
                        <wps:cNvSpPr txBox="1"/>
                        <wps:spPr>
                          <a:xfrm>
                            <a:off x="4845685" y="776605"/>
                            <a:ext cx="444499" cy="279399"/>
                          </a:xfrm>
                          <a:prstGeom prst="rect">
                            <a:avLst/>
                          </a:prstGeom>
                          <a:noFill/>
                          <a:ln>
                            <a:noFill/>
                          </a:ln>
                        </wps:spPr>
                        <wps:txbx>
                          <w:txbxContent>
                            <w:p w14:paraId="4A85B959">
                              <w:pPr>
                                <w:rPr>
                                  <w:rFonts w:hint="default" w:ascii="Times New Roman" w:hAnsi="Times New Roman" w:cs="Times New Roman"/>
                                </w:rPr>
                              </w:pPr>
                              <w:r>
                                <w:rPr>
                                  <w:rFonts w:hint="eastAsia" w:ascii="宋体" w:hAnsi="宋体" w:eastAsia="宋体" w:cs="宋体"/>
                                  <w:sz w:val="18"/>
                                  <w:szCs w:val="18"/>
                                </w:rPr>
                                <w:t>○</w:t>
                              </w:r>
                              <w:r>
                                <w:rPr>
                                  <w:rFonts w:hint="eastAsia" w:ascii="Times New Roman" w:hAnsi="Times New Roman" w:eastAsia="宋体" w:cs="Times New Roman"/>
                                  <w:color w:val="000000"/>
                                  <w:lang w:val="en-US" w:eastAsia="zh-CN"/>
                                </w:rPr>
                                <w:t>2</w:t>
                              </w:r>
                              <w:r>
                                <w:rPr>
                                  <w:rFonts w:hint="default" w:ascii="Times New Roman" w:hAnsi="Times New Roman" w:cs="Times New Roman"/>
                                  <w:vertAlign w:val="superscript"/>
                                </w:rPr>
                                <w:t>#</w:t>
                              </w:r>
                            </w:p>
                          </w:txbxContent>
                        </wps:txbx>
                        <wps:bodyPr upright="1"/>
                      </wps:wsp>
                      <wps:wsp>
                        <wps:cNvPr id="75" name="文本框 48"/>
                        <wps:cNvSpPr txBox="1"/>
                        <wps:spPr>
                          <a:xfrm>
                            <a:off x="4866005" y="2146300"/>
                            <a:ext cx="444499" cy="279399"/>
                          </a:xfrm>
                          <a:prstGeom prst="rect">
                            <a:avLst/>
                          </a:prstGeom>
                          <a:noFill/>
                          <a:ln>
                            <a:noFill/>
                          </a:ln>
                        </wps:spPr>
                        <wps:txbx>
                          <w:txbxContent>
                            <w:p w14:paraId="3DA82060">
                              <w:pPr>
                                <w:rPr>
                                  <w:rFonts w:hint="default" w:ascii="Times New Roman" w:hAnsi="Times New Roman" w:cs="Times New Roman"/>
                                </w:rPr>
                              </w:pPr>
                              <w:r>
                                <w:rPr>
                                  <w:rFonts w:hint="eastAsia" w:ascii="宋体" w:hAnsi="宋体" w:eastAsia="宋体" w:cs="宋体"/>
                                  <w:sz w:val="18"/>
                                  <w:szCs w:val="18"/>
                                </w:rPr>
                                <w:t>○</w:t>
                              </w:r>
                              <w:r>
                                <w:rPr>
                                  <w:rFonts w:hint="eastAsia" w:ascii="Times New Roman" w:hAnsi="Times New Roman" w:eastAsia="宋体" w:cs="Times New Roman"/>
                                  <w:color w:val="000000"/>
                                  <w:lang w:val="en-US" w:eastAsia="zh-CN"/>
                                </w:rPr>
                                <w:t>4</w:t>
                              </w:r>
                              <w:r>
                                <w:rPr>
                                  <w:rFonts w:hint="default" w:ascii="Times New Roman" w:hAnsi="Times New Roman" w:cs="Times New Roman"/>
                                  <w:vertAlign w:val="superscript"/>
                                </w:rPr>
                                <w:t>#</w:t>
                              </w:r>
                            </w:p>
                          </w:txbxContent>
                        </wps:txbx>
                        <wps:bodyPr upright="1"/>
                      </wps:wsp>
                      <wps:wsp>
                        <wps:cNvPr id="76" name="文本框 49"/>
                        <wps:cNvSpPr txBox="1"/>
                        <wps:spPr>
                          <a:xfrm>
                            <a:off x="1297305" y="1334770"/>
                            <a:ext cx="398145" cy="883284"/>
                          </a:xfrm>
                          <a:prstGeom prst="rect">
                            <a:avLst/>
                          </a:prstGeom>
                          <a:noFill/>
                          <a:ln>
                            <a:noFill/>
                          </a:ln>
                        </wps:spPr>
                        <wps:txbx>
                          <w:txbxContent>
                            <w:p w14:paraId="21367EDF">
                              <w:pPr>
                                <w:rPr>
                                  <w:rFonts w:hint="default"/>
                                  <w:lang w:val="en-US" w:eastAsia="zh-CN"/>
                                </w:rPr>
                              </w:pPr>
                              <w:r>
                                <w:rPr>
                                  <w:rFonts w:hint="eastAsia"/>
                                  <w:lang w:val="en-US" w:eastAsia="zh-CN"/>
                                </w:rPr>
                                <w:t>小路</w:t>
                              </w:r>
                            </w:p>
                          </w:txbxContent>
                        </wps:txbx>
                        <wps:bodyPr upright="1"/>
                      </wps:wsp>
                      <wps:wsp>
                        <wps:cNvPr id="77" name="矩形 50"/>
                        <wps:cNvSpPr/>
                        <wps:spPr>
                          <a:xfrm>
                            <a:off x="2232025" y="596265"/>
                            <a:ext cx="2641600" cy="2038985"/>
                          </a:xfrm>
                          <a:prstGeom prst="rect">
                            <a:avLst/>
                          </a:prstGeom>
                          <a:noFill/>
                          <a:ln w="9525" cap="flat" cmpd="sng">
                            <a:solidFill>
                              <a:srgbClr val="000000"/>
                            </a:solidFill>
                            <a:prstDash val="solid"/>
                            <a:miter/>
                            <a:headEnd type="none" w="med" len="med"/>
                            <a:tailEnd type="none" w="med" len="med"/>
                          </a:ln>
                        </wps:spPr>
                        <wps:bodyPr upright="1"/>
                      </wps:wsp>
                      <wps:wsp>
                        <wps:cNvPr id="78" name="文本框 51"/>
                        <wps:cNvSpPr txBox="1"/>
                        <wps:spPr>
                          <a:xfrm>
                            <a:off x="3281045" y="198120"/>
                            <a:ext cx="802005" cy="347980"/>
                          </a:xfrm>
                          <a:prstGeom prst="rect">
                            <a:avLst/>
                          </a:prstGeom>
                          <a:noFill/>
                          <a:ln>
                            <a:noFill/>
                          </a:ln>
                        </wps:spPr>
                        <wps:txbx>
                          <w:txbxContent>
                            <w:p w14:paraId="65F78C7C">
                              <w:pPr>
                                <w:rPr>
                                  <w:rFonts w:hint="default" w:eastAsia="宋体"/>
                                  <w:lang w:val="en-US" w:eastAsia="zh-CN"/>
                                </w:rPr>
                              </w:pPr>
                              <w:r>
                                <w:rPr>
                                  <w:rFonts w:hint="eastAsia"/>
                                  <w:lang w:val="en-US" w:eastAsia="zh-CN"/>
                                </w:rPr>
                                <w:t>其它企业</w:t>
                              </w:r>
                            </w:p>
                          </w:txbxContent>
                        </wps:txbx>
                        <wps:bodyPr upright="1"/>
                      </wps:wsp>
                      <wps:wsp>
                        <wps:cNvPr id="79" name="文本框 52"/>
                        <wps:cNvSpPr txBox="1"/>
                        <wps:spPr>
                          <a:xfrm>
                            <a:off x="3192780" y="2680335"/>
                            <a:ext cx="912495" cy="323850"/>
                          </a:xfrm>
                          <a:prstGeom prst="rect">
                            <a:avLst/>
                          </a:prstGeom>
                          <a:noFill/>
                          <a:ln>
                            <a:noFill/>
                          </a:ln>
                        </wps:spPr>
                        <wps:txbx>
                          <w:txbxContent>
                            <w:p w14:paraId="5BAA9D04">
                              <w:pPr>
                                <w:rPr>
                                  <w:rFonts w:hint="default"/>
                                  <w:lang w:val="en-US" w:eastAsia="zh-CN"/>
                                </w:rPr>
                              </w:pPr>
                              <w:r>
                                <w:rPr>
                                  <w:rFonts w:hint="eastAsia"/>
                                  <w:lang w:val="en-US" w:eastAsia="zh-CN"/>
                                </w:rPr>
                                <w:t>其它企业</w:t>
                              </w:r>
                            </w:p>
                            <w:p w14:paraId="754B46E8">
                              <w:pPr>
                                <w:rPr>
                                  <w:rFonts w:hint="default"/>
                                  <w:lang w:val="en-US" w:eastAsia="zh-CN"/>
                                </w:rPr>
                              </w:pPr>
                            </w:p>
                          </w:txbxContent>
                        </wps:txbx>
                        <wps:bodyPr upright="1"/>
                      </wps:wsp>
                      <wps:wsp>
                        <wps:cNvPr id="80" name="文本框 53"/>
                        <wps:cNvSpPr txBox="1"/>
                        <wps:spPr>
                          <a:xfrm>
                            <a:off x="5400040" y="1525270"/>
                            <a:ext cx="734060" cy="330200"/>
                          </a:xfrm>
                          <a:prstGeom prst="rect">
                            <a:avLst/>
                          </a:prstGeom>
                          <a:noFill/>
                          <a:ln>
                            <a:noFill/>
                          </a:ln>
                        </wps:spPr>
                        <wps:txbx>
                          <w:txbxContent>
                            <w:p w14:paraId="71AC96DE">
                              <w:pPr>
                                <w:rPr>
                                  <w:rFonts w:hint="default"/>
                                  <w:lang w:val="en-US" w:eastAsia="zh-CN"/>
                                </w:rPr>
                              </w:pPr>
                              <w:r>
                                <w:rPr>
                                  <w:rFonts w:hint="eastAsia"/>
                                  <w:lang w:val="en-US" w:eastAsia="zh-CN"/>
                                </w:rPr>
                                <w:t>空地</w:t>
                              </w:r>
                            </w:p>
                          </w:txbxContent>
                        </wps:txbx>
                        <wps:bodyPr upright="1"/>
                      </wps:wsp>
                      <wps:wsp>
                        <wps:cNvPr id="81" name="直接连接符 54"/>
                        <wps:cNvCnPr/>
                        <wps:spPr>
                          <a:xfrm>
                            <a:off x="605155" y="1235075"/>
                            <a:ext cx="255905" cy="635"/>
                          </a:xfrm>
                          <a:prstGeom prst="line">
                            <a:avLst/>
                          </a:prstGeom>
                          <a:ln w="9525" cap="flat" cmpd="sng">
                            <a:solidFill>
                              <a:srgbClr val="000000"/>
                            </a:solidFill>
                            <a:prstDash val="solid"/>
                            <a:headEnd type="none" w="med" len="med"/>
                            <a:tailEnd type="arrow" w="med" len="med"/>
                          </a:ln>
                        </wps:spPr>
                        <wps:bodyPr upright="1"/>
                      </wps:wsp>
                      <wps:wsp>
                        <wps:cNvPr id="82" name="直接连接符 55"/>
                        <wps:cNvCnPr/>
                        <wps:spPr>
                          <a:xfrm flipV="1">
                            <a:off x="1609090" y="538480"/>
                            <a:ext cx="0" cy="2298700"/>
                          </a:xfrm>
                          <a:prstGeom prst="line">
                            <a:avLst/>
                          </a:prstGeom>
                          <a:ln w="9525" cap="flat" cmpd="sng">
                            <a:solidFill>
                              <a:srgbClr val="000000"/>
                            </a:solidFill>
                            <a:prstDash val="solid"/>
                            <a:headEnd type="none" w="med" len="med"/>
                            <a:tailEnd type="none" w="med" len="med"/>
                          </a:ln>
                        </wps:spPr>
                        <wps:bodyPr upright="1"/>
                      </wps:wsp>
                      <wps:wsp>
                        <wps:cNvPr id="83" name="直接连接符 56"/>
                        <wps:cNvCnPr/>
                        <wps:spPr>
                          <a:xfrm flipV="1">
                            <a:off x="1302385" y="539115"/>
                            <a:ext cx="0" cy="2298700"/>
                          </a:xfrm>
                          <a:prstGeom prst="line">
                            <a:avLst/>
                          </a:prstGeom>
                          <a:ln w="9525" cap="flat" cmpd="sng">
                            <a:solidFill>
                              <a:srgbClr val="000000"/>
                            </a:solidFill>
                            <a:prstDash val="solid"/>
                            <a:headEnd type="none" w="med" len="med"/>
                            <a:tailEnd type="none" w="med" len="med"/>
                          </a:ln>
                        </wps:spPr>
                        <wps:bodyPr upright="1"/>
                      </wps:wsp>
                      <wps:wsp>
                        <wps:cNvPr id="84" name="文本框 57"/>
                        <wps:cNvSpPr txBox="1"/>
                        <wps:spPr>
                          <a:xfrm>
                            <a:off x="4935855" y="4036695"/>
                            <a:ext cx="444499" cy="330200"/>
                          </a:xfrm>
                          <a:prstGeom prst="rect">
                            <a:avLst/>
                          </a:prstGeom>
                          <a:noFill/>
                          <a:ln>
                            <a:noFill/>
                          </a:ln>
                        </wps:spPr>
                        <wps:txbx>
                          <w:txbxContent>
                            <w:p w14:paraId="3E336028">
                              <w:r>
                                <w:rPr>
                                  <w:sz w:val="18"/>
                                  <w:szCs w:val="18"/>
                                </w:rPr>
                                <w:t>▲</w:t>
                              </w:r>
                              <w:r>
                                <w:rPr>
                                  <w:rFonts w:hint="eastAsia"/>
                                  <w:sz w:val="21"/>
                                  <w:szCs w:val="21"/>
                                  <w:lang w:val="en-US" w:eastAsia="zh-CN"/>
                                </w:rPr>
                                <w:t>4</w:t>
                              </w:r>
                              <w:r>
                                <w:rPr>
                                  <w:vertAlign w:val="superscript"/>
                                </w:rPr>
                                <w:t>#</w:t>
                              </w:r>
                            </w:p>
                          </w:txbxContent>
                        </wps:txbx>
                        <wps:bodyPr upright="1"/>
                      </wps:wsp>
                      <wps:wsp>
                        <wps:cNvPr id="85" name="文本框 58"/>
                        <wps:cNvSpPr txBox="1"/>
                        <wps:spPr>
                          <a:xfrm>
                            <a:off x="4666615" y="3148330"/>
                            <a:ext cx="444500" cy="330200"/>
                          </a:xfrm>
                          <a:prstGeom prst="rect">
                            <a:avLst/>
                          </a:prstGeom>
                          <a:noFill/>
                          <a:ln>
                            <a:noFill/>
                          </a:ln>
                        </wps:spPr>
                        <wps:txbx>
                          <w:txbxContent>
                            <w:p w14:paraId="3BB95A88">
                              <w:r>
                                <w:rPr>
                                  <w:sz w:val="18"/>
                                  <w:szCs w:val="18"/>
                                </w:rPr>
                                <w:t>▲</w:t>
                              </w:r>
                              <w:r>
                                <w:rPr>
                                  <w:rFonts w:hint="eastAsia"/>
                                  <w:sz w:val="21"/>
                                  <w:szCs w:val="21"/>
                                  <w:lang w:val="en-US" w:eastAsia="zh-CN"/>
                                </w:rPr>
                                <w:t>3</w:t>
                              </w:r>
                              <w:r>
                                <w:rPr>
                                  <w:vertAlign w:val="superscript"/>
                                </w:rPr>
                                <w:t>#</w:t>
                              </w:r>
                            </w:p>
                          </w:txbxContent>
                        </wps:txbx>
                        <wps:bodyPr upright="1"/>
                      </wps:wsp>
                      <wps:wsp>
                        <wps:cNvPr id="86" name="文本框 59"/>
                        <wps:cNvSpPr txBox="1"/>
                        <wps:spPr>
                          <a:xfrm>
                            <a:off x="1871980" y="1221740"/>
                            <a:ext cx="444500" cy="330201"/>
                          </a:xfrm>
                          <a:prstGeom prst="rect">
                            <a:avLst/>
                          </a:prstGeom>
                          <a:noFill/>
                          <a:ln>
                            <a:noFill/>
                          </a:ln>
                        </wps:spPr>
                        <wps:txbx>
                          <w:txbxContent>
                            <w:p w14:paraId="42238320">
                              <w:r>
                                <w:rPr>
                                  <w:sz w:val="18"/>
                                  <w:szCs w:val="18"/>
                                </w:rPr>
                                <w:t>▲</w:t>
                              </w:r>
                              <w:r>
                                <w:rPr>
                                  <w:rFonts w:hint="eastAsia"/>
                                  <w:sz w:val="21"/>
                                  <w:szCs w:val="21"/>
                                  <w:lang w:val="en-US" w:eastAsia="zh-CN"/>
                                </w:rPr>
                                <w:t>2</w:t>
                              </w:r>
                              <w:r>
                                <w:rPr>
                                  <w:vertAlign w:val="superscript"/>
                                </w:rPr>
                                <w:t>#</w:t>
                              </w:r>
                            </w:p>
                          </w:txbxContent>
                        </wps:txbx>
                        <wps:bodyPr upright="1"/>
                      </wps:wsp>
                      <wps:wsp>
                        <wps:cNvPr id="87" name="文本框 60"/>
                        <wps:cNvSpPr txBox="1"/>
                        <wps:spPr>
                          <a:xfrm>
                            <a:off x="4845685" y="1339215"/>
                            <a:ext cx="444499" cy="330200"/>
                          </a:xfrm>
                          <a:prstGeom prst="rect">
                            <a:avLst/>
                          </a:prstGeom>
                          <a:noFill/>
                          <a:ln>
                            <a:noFill/>
                          </a:ln>
                        </wps:spPr>
                        <wps:txbx>
                          <w:txbxContent>
                            <w:p w14:paraId="13475D83">
                              <w:r>
                                <w:rPr>
                                  <w:sz w:val="18"/>
                                  <w:szCs w:val="18"/>
                                </w:rPr>
                                <w:t>▲</w:t>
                              </w:r>
                              <w:r>
                                <w:rPr>
                                  <w:rFonts w:hint="eastAsia"/>
                                  <w:sz w:val="21"/>
                                  <w:szCs w:val="21"/>
                                  <w:lang w:val="en-US" w:eastAsia="zh-CN"/>
                                </w:rPr>
                                <w:t>1</w:t>
                              </w:r>
                              <w:r>
                                <w:rPr>
                                  <w:vertAlign w:val="superscript"/>
                                </w:rPr>
                                <w:t>#</w:t>
                              </w:r>
                            </w:p>
                          </w:txbxContent>
                        </wps:txbx>
                        <wps:bodyPr upright="1"/>
                      </wps:wsp>
                      <wps:wsp>
                        <wps:cNvPr id="88" name="文本框 61"/>
                        <wps:cNvSpPr txBox="1"/>
                        <wps:spPr>
                          <a:xfrm>
                            <a:off x="4352925" y="4078605"/>
                            <a:ext cx="723900" cy="330201"/>
                          </a:xfrm>
                          <a:prstGeom prst="rect">
                            <a:avLst/>
                          </a:prstGeom>
                          <a:noFill/>
                          <a:ln>
                            <a:noFill/>
                          </a:ln>
                        </wps:spPr>
                        <wps:txbx>
                          <w:txbxContent>
                            <w:p w14:paraId="12F6FAFC">
                              <w:pPr>
                                <w:rPr>
                                  <w:rFonts w:hint="default"/>
                                  <w:sz w:val="18"/>
                                  <w:szCs w:val="21"/>
                                  <w:lang w:val="en-US" w:eastAsia="zh-CN"/>
                                </w:rPr>
                              </w:pPr>
                              <w:r>
                                <w:rPr>
                                  <w:rFonts w:hint="eastAsia" w:ascii="Times New Roman" w:hAnsi="Times New Roman" w:eastAsia="宋体" w:cs="Times New Roman"/>
                                  <w:b w:val="0"/>
                                  <w:bCs w:val="0"/>
                                  <w:sz w:val="21"/>
                                  <w:szCs w:val="21"/>
                                  <w:highlight w:val="none"/>
                                  <w:lang w:val="en-US" w:eastAsia="zh-CN"/>
                                </w:rPr>
                                <w:t>尚文小学</w:t>
                              </w:r>
                            </w:p>
                          </w:txbxContent>
                        </wps:txbx>
                        <wps:bodyPr upright="1"/>
                      </wps:wsp>
                      <wps:wsp>
                        <wps:cNvPr id="89" name="文本框 62"/>
                        <wps:cNvSpPr txBox="1"/>
                        <wps:spPr>
                          <a:xfrm>
                            <a:off x="3682365" y="3171825"/>
                            <a:ext cx="1325246" cy="330200"/>
                          </a:xfrm>
                          <a:prstGeom prst="rect">
                            <a:avLst/>
                          </a:prstGeom>
                          <a:noFill/>
                          <a:ln>
                            <a:noFill/>
                          </a:ln>
                        </wps:spPr>
                        <wps:txbx>
                          <w:txbxContent>
                            <w:p w14:paraId="47B52D8C">
                              <w:pPr>
                                <w:rPr>
                                  <w:rFonts w:hint="default"/>
                                  <w:sz w:val="18"/>
                                  <w:szCs w:val="21"/>
                                  <w:lang w:val="en-US" w:eastAsia="zh-CN"/>
                                </w:rPr>
                              </w:pPr>
                              <w:r>
                                <w:rPr>
                                  <w:rFonts w:hint="eastAsia" w:ascii="Times New Roman" w:hAnsi="Times New Roman" w:eastAsia="宋体" w:cs="Times New Roman"/>
                                  <w:b w:val="0"/>
                                  <w:bCs w:val="0"/>
                                  <w:sz w:val="21"/>
                                  <w:szCs w:val="21"/>
                                  <w:highlight w:val="none"/>
                                  <w:lang w:val="en-US" w:eastAsia="zh-CN"/>
                                </w:rPr>
                                <w:t>天才宝贝幼儿园</w:t>
                              </w:r>
                            </w:p>
                          </w:txbxContent>
                        </wps:txbx>
                        <wps:bodyPr upright="1"/>
                      </wps:wsp>
                      <wps:wsp>
                        <wps:cNvPr id="90" name="文本框 63"/>
                        <wps:cNvSpPr txBox="1"/>
                        <wps:spPr>
                          <a:xfrm>
                            <a:off x="3275330" y="1417955"/>
                            <a:ext cx="444500" cy="279399"/>
                          </a:xfrm>
                          <a:prstGeom prst="rect">
                            <a:avLst/>
                          </a:prstGeom>
                          <a:noFill/>
                          <a:ln>
                            <a:noFill/>
                          </a:ln>
                        </wps:spPr>
                        <wps:txbx>
                          <w:txbxContent>
                            <w:p w14:paraId="43708A8B">
                              <w:pPr>
                                <w:rPr>
                                  <w:rFonts w:hint="default" w:ascii="Times New Roman" w:hAnsi="Times New Roman" w:cs="Times New Roman"/>
                                  <w:color w:val="auto"/>
                                </w:rPr>
                              </w:pPr>
                              <w:r>
                                <w:rPr>
                                  <w:rFonts w:hint="eastAsia" w:ascii="宋体" w:hAnsi="宋体" w:eastAsia="宋体" w:cs="宋体"/>
                                  <w:color w:val="auto"/>
                                  <w:sz w:val="18"/>
                                  <w:szCs w:val="18"/>
                                </w:rPr>
                                <w:t>○</w:t>
                              </w:r>
                              <w:r>
                                <w:rPr>
                                  <w:rFonts w:hint="eastAsia" w:ascii="Times New Roman" w:hAnsi="Times New Roman" w:eastAsia="宋体" w:cs="Times New Roman"/>
                                  <w:color w:val="auto"/>
                                  <w:lang w:val="en-US" w:eastAsia="zh-CN"/>
                                </w:rPr>
                                <w:t>5</w:t>
                              </w:r>
                              <w:r>
                                <w:rPr>
                                  <w:rFonts w:hint="default" w:ascii="Times New Roman" w:hAnsi="Times New Roman" w:cs="Times New Roman"/>
                                  <w:color w:val="auto"/>
                                  <w:vertAlign w:val="superscript"/>
                                </w:rPr>
                                <w:t>#</w:t>
                              </w:r>
                            </w:p>
                          </w:txbxContent>
                        </wps:txbx>
                        <wps:bodyPr upright="1"/>
                      </wps:wsp>
                      <wps:wsp>
                        <wps:cNvPr id="91" name="直接连接符 64"/>
                        <wps:cNvCnPr/>
                        <wps:spPr>
                          <a:xfrm>
                            <a:off x="2239645" y="1475740"/>
                            <a:ext cx="2643505" cy="12065"/>
                          </a:xfrm>
                          <a:prstGeom prst="line">
                            <a:avLst/>
                          </a:prstGeom>
                          <a:ln w="9525" cap="flat" cmpd="sng">
                            <a:solidFill>
                              <a:srgbClr val="000000"/>
                            </a:solidFill>
                            <a:prstDash val="solid"/>
                            <a:headEnd type="none" w="med" len="med"/>
                            <a:tailEnd type="none" w="med" len="med"/>
                          </a:ln>
                        </wps:spPr>
                        <wps:bodyPr upright="1"/>
                      </wps:wsp>
                      <wps:wsp>
                        <wps:cNvPr id="92" name="文本框 65"/>
                        <wps:cNvSpPr txBox="1"/>
                        <wps:spPr>
                          <a:xfrm>
                            <a:off x="3091180" y="960120"/>
                            <a:ext cx="901699" cy="317501"/>
                          </a:xfrm>
                          <a:prstGeom prst="rect">
                            <a:avLst/>
                          </a:prstGeom>
                          <a:noFill/>
                          <a:ln>
                            <a:noFill/>
                          </a:ln>
                        </wps:spPr>
                        <wps:txbx>
                          <w:txbxContent>
                            <w:p w14:paraId="043ABA96">
                              <w:pPr>
                                <w:rPr>
                                  <w:rFonts w:hint="default"/>
                                  <w:lang w:val="en-US" w:eastAsia="zh-CN"/>
                                </w:rPr>
                              </w:pPr>
                              <w:r>
                                <w:rPr>
                                  <w:rFonts w:hint="eastAsia"/>
                                  <w:lang w:val="en-US" w:eastAsia="zh-CN"/>
                                </w:rPr>
                                <w:t>生产区</w:t>
                              </w:r>
                            </w:p>
                          </w:txbxContent>
                        </wps:txbx>
                        <wps:bodyPr upright="1"/>
                      </wps:wsp>
                      <wps:wsp>
                        <wps:cNvPr id="93" name="文本框 66"/>
                        <wps:cNvSpPr txBox="1"/>
                        <wps:spPr>
                          <a:xfrm>
                            <a:off x="3763645" y="965835"/>
                            <a:ext cx="444500" cy="266700"/>
                          </a:xfrm>
                          <a:prstGeom prst="rect">
                            <a:avLst/>
                          </a:prstGeom>
                          <a:noFill/>
                          <a:ln>
                            <a:noFill/>
                          </a:ln>
                        </wps:spPr>
                        <wps:txbx>
                          <w:txbxContent>
                            <w:p w14:paraId="398007CD">
                              <w:pPr>
                                <w:rPr>
                                  <w:rFonts w:hint="default"/>
                                </w:rPr>
                              </w:pPr>
                              <w:r>
                                <w:rPr>
                                  <w:rFonts w:hint="default" w:ascii="Times New Roman" w:hAnsi="Times New Roman" w:eastAsia="宋体" w:cs="Times New Roman"/>
                                </w:rPr>
                                <w:t>△</w:t>
                              </w:r>
                            </w:p>
                          </w:txbxContent>
                        </wps:txbx>
                        <wps:bodyPr upright="1"/>
                      </wps:wsp>
                    </wpc:wpc>
                  </a:graphicData>
                </a:graphic>
              </wp:anchor>
            </w:drawing>
          </mc:Choice>
          <mc:Fallback>
            <w:pict>
              <v:group id="_x0000_s1026" o:spid="_x0000_s1026" o:spt="203" style="position:absolute;left:0pt;margin-left:-32pt;margin-top:78.3pt;height:442.75pt;width:483pt;mso-position-vertical-relative:page;mso-wrap-distance-bottom:0pt;mso-wrap-distance-top:0pt;z-index:251672576;mso-width-relative:page;mso-height-relative:page;" coordsize="6134100,5622925" editas="canvas" o:gfxdata="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">
                <o:lock v:ext="edit" aspectratio="f"/>
                <v:shape id="_x0000_s1026" o:spid="_x0000_s1026" style="position:absolute;left:0;top:0;height:5622925;width:6134100;" filled="f" stroked="t" coordsize="21600,21600" o:gfxdata="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">
                  <v:fill on="f" focussize="0,0"/>
                  <v:stroke weight="0.5pt" color="#000000" joinstyle="miter"/>
                  <v:imagedata o:title=""/>
                  <o:lock v:ext="edit" aspectratio="f"/>
                </v:shape>
                <v:shape id="文本框 41" o:spid="_x0000_s1026" o:spt="202" type="#_x0000_t202" style="position:absolute;left:179705;top:179705;height:355601;width:1028700;" filled="f" stroked="f" coordsize="21600,21600" o:gfxdata="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f1HzYdgAAAAMAQAADwAAAAAAAAABACAAAAAiAAAAZHJzL2Rvd25yZXYueG1sUEsBAhQAFAAAAAgA&#10;h07iQF/JzX2zAQAAWgMAAA4AAAAAAAAAAQAgAAAAJwEAAGRycy9lMm9Eb2MueG1sUEsFBgAAAAAG&#10;AAYAWQEAAEwFAAAAAA==&#10;">
                  <v:fill on="f" focussize="0,0"/>
                  <v:stroke on="f"/>
                  <v:imagedata o:title=""/>
                  <o:lock v:ext="edit" aspectratio="f"/>
                  <v:textbox>
                    <w:txbxContent>
                      <w:p w14:paraId="579FAFF6">
                        <w:pPr>
                          <w:rPr>
                            <w:rFonts w:hint="eastAsia" w:ascii="宋体" w:hAnsi="宋体" w:eastAsia="宋体" w:cs="宋体"/>
                            <w:lang w:val="en-US" w:eastAsia="zh-CN"/>
                          </w:rPr>
                        </w:pPr>
                        <w:r>
                          <w:rPr>
                            <w:rFonts w:hint="eastAsia" w:ascii="宋体" w:hAnsi="宋体" w:eastAsia="宋体" w:cs="宋体"/>
                            <w:lang w:val="en-US" w:eastAsia="zh-CN"/>
                          </w:rPr>
                          <w:t>风向：东</w:t>
                        </w:r>
                        <w:r>
                          <w:rPr>
                            <w:rFonts w:hint="eastAsia" w:ascii="宋体" w:hAnsi="宋体" w:eastAsia="宋体" w:cs="宋体"/>
                            <w:color w:val="auto"/>
                            <w:lang w:val="en-US" w:eastAsia="zh-CN"/>
                          </w:rPr>
                          <w:t>风</w:t>
                        </w:r>
                      </w:p>
                    </w:txbxContent>
                  </v:textbox>
                </v:shape>
                <v:shape id="文本框 42" o:spid="_x0000_s1026" o:spt="202" type="#_x0000_t202" style="position:absolute;left:4850130;top:1498600;height:279399;width:444499;" filled="f" stroked="f" coordsize="21600,21600" o:gfxdata="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H9R82HYAAAADAEAAA8AAAAAAAAAAQAgAAAAIgAAAGRycy9kb3ducmV2LnhtbFBLAQIUABQA&#10;AAAIAIdO4kC0HhhotwEAAFsDAAAOAAAAAAAAAAEAIAAAACcBAABkcnMvZTJvRG9jLnhtbFBLBQYA&#10;AAAABgAGAFkBAABQBQAAAAA=&#10;">
                  <v:fill on="f" focussize="0,0"/>
                  <v:stroke on="f"/>
                  <v:imagedata o:title=""/>
                  <o:lock v:ext="edit" aspectratio="f"/>
                  <v:textbox>
                    <w:txbxContent>
                      <w:p w14:paraId="23D0E25D">
                        <w:pPr>
                          <w:rPr>
                            <w:rFonts w:hint="default" w:ascii="Times New Roman" w:hAnsi="Times New Roman" w:cs="Times New Roman"/>
                          </w:rPr>
                        </w:pPr>
                        <w:r>
                          <w:rPr>
                            <w:rFonts w:hint="eastAsia" w:ascii="宋体" w:hAnsi="宋体" w:eastAsia="宋体" w:cs="宋体"/>
                            <w:sz w:val="18"/>
                            <w:szCs w:val="18"/>
                          </w:rPr>
                          <w:t>○</w:t>
                        </w:r>
                        <w:r>
                          <w:rPr>
                            <w:rFonts w:hint="eastAsia" w:ascii="Times New Roman" w:hAnsi="Times New Roman" w:eastAsia="宋体" w:cs="Times New Roman"/>
                            <w:lang w:val="en-US" w:eastAsia="zh-CN"/>
                          </w:rPr>
                          <w:t>3</w:t>
                        </w:r>
                        <w:r>
                          <w:rPr>
                            <w:rFonts w:hint="default" w:ascii="Times New Roman" w:hAnsi="Times New Roman" w:cs="Times New Roman"/>
                            <w:vertAlign w:val="superscript"/>
                          </w:rPr>
                          <w:t>#</w:t>
                        </w:r>
                      </w:p>
                    </w:txbxContent>
                  </v:textbox>
                </v:shape>
                <v:shape id="文本框 43" o:spid="_x0000_s1026" o:spt="202" type="#_x0000_t202" style="position:absolute;left:4925061;top:151765;height:419101;width:635000;" filled="f" stroked="f" coordsize="21600,21600" o:gfxdata="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H9R82HYAAAADAEAAA8AAAAAAAAAAQAgAAAAIgAAAGRycy9kb3ducmV2LnhtbFBLAQIU&#10;ABQAAAAIAIdO4kDVY5UIugEAAFoDAAAOAAAAAAAAAAEAIAAAACcBAABkcnMvZTJvRG9jLnhtbFBL&#10;BQYAAAAABgAGAFkBAABTBQAAAAA=&#10;">
                  <v:fill on="f" focussize="0,0"/>
                  <v:stroke on="f"/>
                  <v:imagedata o:title=""/>
                  <o:lock v:ext="edit" aspectratio="f"/>
                  <v:textbox>
                    <w:txbxContent>
                      <w:p w14:paraId="52B7F952">
                        <w:r>
                          <w:rPr>
                            <w:rFonts w:hint="eastAsia"/>
                          </w:rPr>
                          <w:t xml:space="preserve">    北</w:t>
                        </w:r>
                      </w:p>
                    </w:txbxContent>
                  </v:textbox>
                </v:shape>
                <v:shape id="直接箭头连接符 44" o:spid="_x0000_s1026" o:spt="32" type="#_x0000_t32" style="position:absolute;left:5187952;top:165735;flip:y;height:241300;width:0;" filled="f" stroked="t" coordsize="21600,21600" o:gfxdata="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G5nXB3aAAAA&#10;DAEAAA8AAAAAAAAAAQAgAAAAIgAAAGRycy9kb3ducmV2LnhtbFBLAQIUABQAAAAIAIdO4kAeEI4Q&#10;GwIAAAYEAAAOAAAAAAAAAAEAIAAAACkBAABkcnMvZTJvRG9jLnhtbFBLBQYAAAAABgAGAFkBAAC2&#10;BQAAAAA=&#10;">
                  <v:fill on="f" focussize="0,0"/>
                  <v:stroke color="#000000" joinstyle="round" endarrow="block"/>
                  <v:imagedata o:title=""/>
                  <o:lock v:ext="edit" aspectratio="f"/>
                </v:shape>
                <v:shape id="文本框 45" o:spid="_x0000_s1026" o:spt="202" type="#_x0000_t202" style="position:absolute;left:279400;top:4521201;height:927734;width:5822950;" fillcolor="#FFFFFF" filled="t" stroked="t" coordsize="21600,21600" o:gfxdata="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FJ21N2AAAAAwBAAAPAAAAAAAA&#10;AAEAIAAAACIAAABkcnMvZG93bnJldi54bWxQSwECFAAUAAAACACHTuJA4UOFtBICAABDBAAADgAA&#10;AAAAAAABACAAAAAnAQAAZHJzL2Uyb0RvYy54bWxQSwUGAAAAAAYABgBZAQAAqwUAAAAA&#10;">
                  <v:fill on="t" focussize="0,0"/>
                  <v:stroke color="#FFFFFF" joinstyle="miter"/>
                  <v:imagedata o:title=""/>
                  <o:lock v:ext="edit" aspectratio="f"/>
                  <v:textbox>
                    <w:txbxContent>
                      <w:p w14:paraId="16087CCF">
                        <w:pPr>
                          <w:rPr>
                            <w:rFonts w:hint="default" w:ascii="Times New Roman" w:hAnsi="Times New Roman" w:eastAsia="宋体" w:cs="Times New Roman"/>
                          </w:rPr>
                        </w:pPr>
                        <w:r>
                          <w:rPr>
                            <w:rFonts w:hint="default" w:ascii="Times New Roman" w:hAnsi="Times New Roman" w:eastAsia="宋体" w:cs="Times New Roman"/>
                          </w:rPr>
                          <w:t>注：</w:t>
                        </w:r>
                        <w:r>
                          <w:rPr>
                            <w:rFonts w:hint="eastAsia" w:ascii="宋体" w:hAnsi="宋体" w:eastAsia="宋体" w:cs="宋体"/>
                            <w:sz w:val="18"/>
                            <w:szCs w:val="18"/>
                          </w:rPr>
                          <w:t>○</w:t>
                        </w:r>
                        <w:r>
                          <w:rPr>
                            <w:rFonts w:hint="default" w:ascii="Times New Roman" w:hAnsi="Times New Roman" w:eastAsia="宋体" w:cs="Times New Roman"/>
                          </w:rPr>
                          <w:t>代表无组织废气检测点位，△代表噪声源，</w:t>
                        </w:r>
                        <w:r>
                          <w:rPr>
                            <w:rFonts w:hint="default" w:ascii="Times New Roman" w:hAnsi="Times New Roman" w:eastAsia="宋体" w:cs="Times New Roman"/>
                            <w:sz w:val="18"/>
                            <w:szCs w:val="18"/>
                          </w:rPr>
                          <w:t>▲</w:t>
                        </w:r>
                        <w:r>
                          <w:rPr>
                            <w:rFonts w:hint="default" w:ascii="Times New Roman" w:hAnsi="Times New Roman" w:eastAsia="宋体" w:cs="Times New Roman"/>
                          </w:rPr>
                          <w:t>代表噪声检测</w:t>
                        </w:r>
                        <w:r>
                          <w:rPr>
                            <w:rFonts w:hint="default" w:ascii="Times New Roman" w:hAnsi="Times New Roman" w:eastAsia="宋体" w:cs="Times New Roman"/>
                            <w:color w:val="auto"/>
                          </w:rPr>
                          <w:t>点位。检测期间环境条件：20</w:t>
                        </w:r>
                        <w:r>
                          <w:rPr>
                            <w:rFonts w:hint="default" w:ascii="Times New Roman" w:hAnsi="Times New Roman" w:eastAsia="宋体" w:cs="Times New Roman"/>
                            <w:color w:val="auto"/>
                            <w:lang w:val="en-US" w:eastAsia="zh-CN"/>
                          </w:rPr>
                          <w:t>2</w:t>
                        </w:r>
                        <w:r>
                          <w:rPr>
                            <w:rFonts w:hint="eastAsia" w:ascii="Times New Roman" w:hAnsi="Times New Roman" w:eastAsia="宋体" w:cs="Times New Roman"/>
                            <w:color w:val="auto"/>
                            <w:lang w:val="en-US" w:eastAsia="zh-CN"/>
                          </w:rPr>
                          <w:t>6</w:t>
                        </w:r>
                        <w:r>
                          <w:rPr>
                            <w:rFonts w:hint="default" w:ascii="Times New Roman" w:hAnsi="Times New Roman" w:eastAsia="宋体" w:cs="Times New Roman"/>
                            <w:color w:val="auto"/>
                          </w:rPr>
                          <w:t>年</w:t>
                        </w:r>
                        <w:r>
                          <w:rPr>
                            <w:rFonts w:hint="eastAsia" w:ascii="Times New Roman" w:hAnsi="Times New Roman" w:eastAsia="宋体" w:cs="Times New Roman"/>
                            <w:color w:val="auto"/>
                            <w:lang w:val="en-US" w:eastAsia="zh-CN"/>
                          </w:rPr>
                          <w:t>03</w:t>
                        </w:r>
                        <w:r>
                          <w:rPr>
                            <w:rFonts w:hint="default" w:ascii="Times New Roman" w:hAnsi="Times New Roman" w:eastAsia="宋体" w:cs="Times New Roman"/>
                            <w:color w:val="auto"/>
                          </w:rPr>
                          <w:t>月</w:t>
                        </w:r>
                        <w:r>
                          <w:rPr>
                            <w:rFonts w:hint="eastAsia" w:ascii="Times New Roman" w:hAnsi="Times New Roman" w:eastAsia="宋体" w:cs="Times New Roman"/>
                            <w:color w:val="auto"/>
                            <w:lang w:val="en-US" w:eastAsia="zh-CN"/>
                          </w:rPr>
                          <w:t>23</w:t>
                        </w:r>
                        <w:r>
                          <w:rPr>
                            <w:rFonts w:hint="default" w:ascii="Times New Roman" w:hAnsi="Times New Roman" w:eastAsia="宋体" w:cs="Times New Roman"/>
                            <w:color w:val="auto"/>
                          </w:rPr>
                          <w:t>日：昼间：</w:t>
                        </w:r>
                        <w:r>
                          <w:rPr>
                            <w:rFonts w:hint="eastAsia" w:ascii="Times New Roman" w:hAnsi="Times New Roman" w:eastAsia="宋体" w:cs="Times New Roman"/>
                            <w:color w:val="auto"/>
                            <w:lang w:val="en-US" w:eastAsia="zh-CN"/>
                          </w:rPr>
                          <w:t>晴</w:t>
                        </w:r>
                        <w:r>
                          <w:rPr>
                            <w:rFonts w:hint="default" w:ascii="Times New Roman" w:hAnsi="Times New Roman" w:eastAsia="宋体" w:cs="Times New Roman"/>
                            <w:color w:val="auto"/>
                          </w:rPr>
                          <w:t>，风速:</w:t>
                        </w:r>
                        <w:r>
                          <w:rPr>
                            <w:rFonts w:hint="eastAsia" w:ascii="Times New Roman" w:hAnsi="Times New Roman" w:eastAsia="宋体" w:cs="Times New Roman"/>
                            <w:color w:val="auto"/>
                            <w:lang w:val="en-US" w:eastAsia="zh-CN"/>
                          </w:rPr>
                          <w:t>3.9</w:t>
                        </w:r>
                        <w:r>
                          <w:rPr>
                            <w:rFonts w:hint="default" w:ascii="Times New Roman" w:hAnsi="Times New Roman" w:eastAsia="宋体" w:cs="Times New Roman"/>
                            <w:color w:val="auto"/>
                          </w:rPr>
                          <w:t>m/s</w:t>
                        </w:r>
                        <w:r>
                          <w:rPr>
                            <w:rFonts w:hint="eastAsia" w:ascii="Times New Roman" w:hAnsi="Times New Roman" w:eastAsia="宋体" w:cs="Times New Roman"/>
                            <w:color w:val="auto"/>
                            <w:lang w:eastAsia="zh-CN"/>
                          </w:rPr>
                          <w:t>。环境温度：</w:t>
                        </w:r>
                        <w:r>
                          <w:rPr>
                            <w:rFonts w:hint="eastAsia" w:ascii="Times New Roman" w:hAnsi="Times New Roman" w:eastAsia="宋体" w:cs="Times New Roman"/>
                            <w:color w:val="auto"/>
                            <w:lang w:val="en-US" w:eastAsia="zh-CN"/>
                          </w:rPr>
                          <w:t>12.8</w:t>
                        </w:r>
                        <w:r>
                          <w:rPr>
                            <w:rFonts w:hint="eastAsia" w:ascii="Times New Roman" w:hAnsi="Times New Roman" w:eastAsia="宋体" w:cs="Times New Roman"/>
                            <w:color w:val="auto"/>
                            <w:lang w:eastAsia="zh-CN"/>
                          </w:rPr>
                          <w:t>℃，湿度</w:t>
                        </w:r>
                        <w:r>
                          <w:rPr>
                            <w:rFonts w:hint="eastAsia" w:ascii="Times New Roman" w:hAnsi="Times New Roman" w:eastAsia="宋体" w:cs="Times New Roman"/>
                            <w:color w:val="auto"/>
                            <w:lang w:val="en-US" w:eastAsia="zh-CN"/>
                          </w:rPr>
                          <w:t>31</w:t>
                        </w:r>
                        <w:r>
                          <w:rPr>
                            <w:rFonts w:hint="eastAsia" w:ascii="Times New Roman" w:hAnsi="Times New Roman" w:eastAsia="宋体" w:cs="Times New Roman"/>
                            <w:color w:val="auto"/>
                            <w:lang w:eastAsia="zh-CN"/>
                          </w:rPr>
                          <w:t>%，气压：1</w:t>
                        </w:r>
                        <w:r>
                          <w:rPr>
                            <w:rFonts w:hint="eastAsia" w:ascii="Times New Roman" w:hAnsi="Times New Roman" w:eastAsia="宋体" w:cs="Times New Roman"/>
                            <w:color w:val="auto"/>
                            <w:lang w:val="en-US" w:eastAsia="zh-CN"/>
                          </w:rPr>
                          <w:t>01.4</w:t>
                        </w:r>
                        <w:r>
                          <w:rPr>
                            <w:rFonts w:hint="eastAsia" w:ascii="Times New Roman" w:hAnsi="Times New Roman" w:eastAsia="宋体" w:cs="Times New Roman"/>
                            <w:color w:val="auto"/>
                            <w:lang w:eastAsia="zh-CN"/>
                          </w:rPr>
                          <w:t>kPa。</w:t>
                        </w:r>
                        <w:r>
                          <w:rPr>
                            <w:rFonts w:hint="default" w:ascii="Times New Roman" w:hAnsi="Times New Roman" w:eastAsia="宋体" w:cs="Times New Roman"/>
                            <w:color w:val="auto"/>
                          </w:rPr>
                          <w:t>20</w:t>
                        </w:r>
                        <w:r>
                          <w:rPr>
                            <w:rFonts w:hint="default" w:ascii="Times New Roman" w:hAnsi="Times New Roman" w:eastAsia="宋体" w:cs="Times New Roman"/>
                            <w:color w:val="auto"/>
                            <w:lang w:val="en-US" w:eastAsia="zh-CN"/>
                          </w:rPr>
                          <w:t>2</w:t>
                        </w:r>
                        <w:r>
                          <w:rPr>
                            <w:rFonts w:hint="eastAsia" w:ascii="Times New Roman" w:hAnsi="Times New Roman" w:eastAsia="宋体" w:cs="Times New Roman"/>
                            <w:color w:val="auto"/>
                            <w:lang w:val="en-US" w:eastAsia="zh-CN"/>
                          </w:rPr>
                          <w:t>6</w:t>
                        </w:r>
                        <w:r>
                          <w:rPr>
                            <w:rFonts w:hint="default" w:ascii="Times New Roman" w:hAnsi="Times New Roman" w:eastAsia="宋体" w:cs="Times New Roman"/>
                            <w:color w:val="auto"/>
                          </w:rPr>
                          <w:t>年</w:t>
                        </w:r>
                        <w:r>
                          <w:rPr>
                            <w:rFonts w:hint="eastAsia" w:ascii="Times New Roman" w:hAnsi="Times New Roman" w:eastAsia="宋体" w:cs="Times New Roman"/>
                            <w:color w:val="auto"/>
                            <w:lang w:val="en-US" w:eastAsia="zh-CN"/>
                          </w:rPr>
                          <w:t>03</w:t>
                        </w:r>
                        <w:r>
                          <w:rPr>
                            <w:rFonts w:hint="default" w:ascii="Times New Roman" w:hAnsi="Times New Roman" w:eastAsia="宋体" w:cs="Times New Roman"/>
                            <w:color w:val="auto"/>
                          </w:rPr>
                          <w:t>月</w:t>
                        </w:r>
                        <w:r>
                          <w:rPr>
                            <w:rFonts w:hint="eastAsia" w:ascii="Times New Roman" w:hAnsi="Times New Roman" w:eastAsia="宋体" w:cs="Times New Roman"/>
                            <w:color w:val="auto"/>
                            <w:lang w:val="en-US" w:eastAsia="zh-CN"/>
                          </w:rPr>
                          <w:t>24</w:t>
                        </w:r>
                        <w:r>
                          <w:rPr>
                            <w:rFonts w:hint="default" w:ascii="Times New Roman" w:hAnsi="Times New Roman" w:eastAsia="宋体" w:cs="Times New Roman"/>
                            <w:color w:val="auto"/>
                          </w:rPr>
                          <w:t>日：昼间：</w:t>
                        </w:r>
                        <w:r>
                          <w:rPr>
                            <w:rFonts w:hint="eastAsia" w:ascii="Times New Roman" w:hAnsi="Times New Roman" w:eastAsia="宋体" w:cs="Times New Roman"/>
                            <w:color w:val="auto"/>
                            <w:lang w:val="en-US" w:eastAsia="zh-CN"/>
                          </w:rPr>
                          <w:t>晴</w:t>
                        </w:r>
                        <w:r>
                          <w:rPr>
                            <w:rFonts w:hint="default" w:ascii="Times New Roman" w:hAnsi="Times New Roman" w:eastAsia="宋体" w:cs="Times New Roman"/>
                            <w:color w:val="auto"/>
                          </w:rPr>
                          <w:t>，风速:</w:t>
                        </w:r>
                        <w:r>
                          <w:rPr>
                            <w:rFonts w:hint="eastAsia" w:ascii="Times New Roman" w:hAnsi="Times New Roman" w:eastAsia="宋体" w:cs="Times New Roman"/>
                            <w:color w:val="auto"/>
                            <w:lang w:val="en-US" w:eastAsia="zh-CN"/>
                          </w:rPr>
                          <w:t>3.8</w:t>
                        </w:r>
                        <w:r>
                          <w:rPr>
                            <w:rFonts w:hint="default" w:ascii="Times New Roman" w:hAnsi="Times New Roman" w:eastAsia="宋体" w:cs="Times New Roman"/>
                            <w:color w:val="auto"/>
                          </w:rPr>
                          <w:t>m/s</w:t>
                        </w:r>
                        <w:r>
                          <w:rPr>
                            <w:rFonts w:hint="eastAsia" w:ascii="Times New Roman" w:hAnsi="Times New Roman" w:eastAsia="宋体" w:cs="Times New Roman"/>
                            <w:color w:val="auto"/>
                            <w:lang w:eastAsia="zh-CN"/>
                          </w:rPr>
                          <w:t>。环境温度：</w:t>
                        </w:r>
                        <w:r>
                          <w:rPr>
                            <w:rFonts w:hint="eastAsia" w:ascii="Times New Roman" w:hAnsi="Times New Roman" w:eastAsia="宋体" w:cs="Times New Roman"/>
                            <w:color w:val="auto"/>
                            <w:lang w:val="en-US" w:eastAsia="zh-CN"/>
                          </w:rPr>
                          <w:t>13.5</w:t>
                        </w:r>
                        <w:r>
                          <w:rPr>
                            <w:rFonts w:hint="eastAsia" w:ascii="Times New Roman" w:hAnsi="Times New Roman" w:eastAsia="宋体" w:cs="Times New Roman"/>
                            <w:color w:val="auto"/>
                            <w:lang w:eastAsia="zh-CN"/>
                          </w:rPr>
                          <w:t>℃，湿度</w:t>
                        </w:r>
                        <w:r>
                          <w:rPr>
                            <w:rFonts w:hint="eastAsia" w:ascii="Times New Roman" w:hAnsi="Times New Roman" w:eastAsia="宋体" w:cs="Times New Roman"/>
                            <w:color w:val="auto"/>
                            <w:lang w:val="en-US" w:eastAsia="zh-CN"/>
                          </w:rPr>
                          <w:t>33</w:t>
                        </w:r>
                        <w:r>
                          <w:rPr>
                            <w:rFonts w:hint="eastAsia" w:ascii="Times New Roman" w:hAnsi="Times New Roman" w:eastAsia="宋体" w:cs="Times New Roman"/>
                            <w:color w:val="auto"/>
                            <w:lang w:eastAsia="zh-CN"/>
                          </w:rPr>
                          <w:t>%，气压：1</w:t>
                        </w:r>
                        <w:r>
                          <w:rPr>
                            <w:rFonts w:hint="eastAsia" w:ascii="Times New Roman" w:hAnsi="Times New Roman" w:eastAsia="宋体" w:cs="Times New Roman"/>
                            <w:color w:val="auto"/>
                            <w:lang w:val="en-US" w:eastAsia="zh-CN"/>
                          </w:rPr>
                          <w:t>01.6</w:t>
                        </w:r>
                        <w:r>
                          <w:rPr>
                            <w:rFonts w:hint="eastAsia" w:ascii="Times New Roman" w:hAnsi="Times New Roman" w:eastAsia="宋体" w:cs="Times New Roman"/>
                            <w:color w:val="auto"/>
                            <w:lang w:eastAsia="zh-CN"/>
                          </w:rPr>
                          <w:t>kPa。</w:t>
                        </w:r>
                      </w:p>
                    </w:txbxContent>
                  </v:textbox>
                </v:shape>
                <v:shape id="文本框 46" o:spid="_x0000_s1026" o:spt="202" type="#_x0000_t202" style="position:absolute;left:1864995;top:1417320;height:279399;width:444500;" filled="f" stroked="f" coordsize="21600,21600" o:gfxdata="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f1HzYdgAAAAMAQAADwAAAAAAAAABACAAAAAiAAAAZHJzL2Rvd25yZXYueG1sUEsBAhQA&#10;FAAAAAgAh07iQKX07fK5AQAAWwMAAA4AAAAAAAAAAQAgAAAAJwEAAGRycy9lMm9Eb2MueG1sUEsF&#10;BgAAAAAGAAYAWQEAAFIFAAAAAA==&#10;">
                  <v:fill on="f" focussize="0,0"/>
                  <v:stroke on="f"/>
                  <v:imagedata o:title=""/>
                  <o:lock v:ext="edit" aspectratio="f"/>
                  <v:textbox>
                    <w:txbxContent>
                      <w:p w14:paraId="13996A13">
                        <w:pPr>
                          <w:rPr>
                            <w:rFonts w:hint="default" w:ascii="Times New Roman" w:hAnsi="Times New Roman" w:cs="Times New Roman"/>
                            <w:color w:val="auto"/>
                          </w:rPr>
                        </w:pPr>
                        <w:r>
                          <w:rPr>
                            <w:rFonts w:hint="eastAsia" w:ascii="宋体" w:hAnsi="宋体" w:eastAsia="宋体" w:cs="宋体"/>
                            <w:color w:val="auto"/>
                            <w:sz w:val="18"/>
                            <w:szCs w:val="18"/>
                          </w:rPr>
                          <w:t>○</w:t>
                        </w:r>
                        <w:r>
                          <w:rPr>
                            <w:rFonts w:hint="eastAsia" w:ascii="Times New Roman" w:hAnsi="Times New Roman" w:eastAsia="宋体" w:cs="Times New Roman"/>
                            <w:color w:val="auto"/>
                            <w:lang w:val="en-US" w:eastAsia="zh-CN"/>
                          </w:rPr>
                          <w:t>1</w:t>
                        </w:r>
                        <w:r>
                          <w:rPr>
                            <w:rFonts w:hint="default" w:ascii="Times New Roman" w:hAnsi="Times New Roman" w:cs="Times New Roman"/>
                            <w:color w:val="auto"/>
                            <w:vertAlign w:val="superscript"/>
                          </w:rPr>
                          <w:t>#</w:t>
                        </w:r>
                      </w:p>
                    </w:txbxContent>
                  </v:textbox>
                </v:shape>
                <v:shape id="文本框 47" o:spid="_x0000_s1026" o:spt="202" type="#_x0000_t202" style="position:absolute;left:4845685;top:776605;height:279399;width:444499;" filled="f" stroked="f" coordsize="21600,21600" o:gfxdata="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f1HzYdgAAAAMAQAADwAAAAAAAAABACAAAAAiAAAAZHJzL2Rvd25yZXYueG1sUEsBAhQAFAAA&#10;AAgAh07iQFxEK/m2AQAAWgMAAA4AAAAAAAAAAQAgAAAAJwEAAGRycy9lMm9Eb2MueG1sUEsFBgAA&#10;AAAGAAYAWQEAAE8FAAAAAA==&#10;">
                  <v:fill on="f" focussize="0,0"/>
                  <v:stroke on="f"/>
                  <v:imagedata o:title=""/>
                  <o:lock v:ext="edit" aspectratio="f"/>
                  <v:textbox>
                    <w:txbxContent>
                      <w:p w14:paraId="4A85B959">
                        <w:pPr>
                          <w:rPr>
                            <w:rFonts w:hint="default" w:ascii="Times New Roman" w:hAnsi="Times New Roman" w:cs="Times New Roman"/>
                          </w:rPr>
                        </w:pPr>
                        <w:r>
                          <w:rPr>
                            <w:rFonts w:hint="eastAsia" w:ascii="宋体" w:hAnsi="宋体" w:eastAsia="宋体" w:cs="宋体"/>
                            <w:sz w:val="18"/>
                            <w:szCs w:val="18"/>
                          </w:rPr>
                          <w:t>○</w:t>
                        </w:r>
                        <w:r>
                          <w:rPr>
                            <w:rFonts w:hint="eastAsia" w:ascii="Times New Roman" w:hAnsi="Times New Roman" w:eastAsia="宋体" w:cs="Times New Roman"/>
                            <w:color w:val="000000"/>
                            <w:lang w:val="en-US" w:eastAsia="zh-CN"/>
                          </w:rPr>
                          <w:t>2</w:t>
                        </w:r>
                        <w:r>
                          <w:rPr>
                            <w:rFonts w:hint="default" w:ascii="Times New Roman" w:hAnsi="Times New Roman" w:cs="Times New Roman"/>
                            <w:vertAlign w:val="superscript"/>
                          </w:rPr>
                          <w:t>#</w:t>
                        </w:r>
                      </w:p>
                    </w:txbxContent>
                  </v:textbox>
                </v:shape>
                <v:shape id="文本框 48" o:spid="_x0000_s1026" o:spt="202" type="#_x0000_t202" style="position:absolute;left:4866005;top:2146300;height:279399;width:444499;" filled="f" stroked="f" coordsize="21600,21600" o:gfxdata="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H9R82HYAAAADAEAAA8AAAAAAAAAAQAgAAAAIgAAAGRycy9kb3ducmV2LnhtbFBLAQIUABQA&#10;AAAIAIdO4kBzdXEEtwEAAFsDAAAOAAAAAAAAAAEAIAAAACcBAABkcnMvZTJvRG9jLnhtbFBLBQYA&#10;AAAABgAGAFkBAABQBQAAAAA=&#10;">
                  <v:fill on="f" focussize="0,0"/>
                  <v:stroke on="f"/>
                  <v:imagedata o:title=""/>
                  <o:lock v:ext="edit" aspectratio="f"/>
                  <v:textbox>
                    <w:txbxContent>
                      <w:p w14:paraId="3DA82060">
                        <w:pPr>
                          <w:rPr>
                            <w:rFonts w:hint="default" w:ascii="Times New Roman" w:hAnsi="Times New Roman" w:cs="Times New Roman"/>
                          </w:rPr>
                        </w:pPr>
                        <w:r>
                          <w:rPr>
                            <w:rFonts w:hint="eastAsia" w:ascii="宋体" w:hAnsi="宋体" w:eastAsia="宋体" w:cs="宋体"/>
                            <w:sz w:val="18"/>
                            <w:szCs w:val="18"/>
                          </w:rPr>
                          <w:t>○</w:t>
                        </w:r>
                        <w:r>
                          <w:rPr>
                            <w:rFonts w:hint="eastAsia" w:ascii="Times New Roman" w:hAnsi="Times New Roman" w:eastAsia="宋体" w:cs="Times New Roman"/>
                            <w:color w:val="000000"/>
                            <w:lang w:val="en-US" w:eastAsia="zh-CN"/>
                          </w:rPr>
                          <w:t>4</w:t>
                        </w:r>
                        <w:r>
                          <w:rPr>
                            <w:rFonts w:hint="default" w:ascii="Times New Roman" w:hAnsi="Times New Roman" w:cs="Times New Roman"/>
                            <w:vertAlign w:val="superscript"/>
                          </w:rPr>
                          <w:t>#</w:t>
                        </w:r>
                      </w:p>
                    </w:txbxContent>
                  </v:textbox>
                </v:shape>
                <v:shape id="文本框 49" o:spid="_x0000_s1026" o:spt="202" type="#_x0000_t202" style="position:absolute;left:1297305;top:1334770;height:883284;width:398145;" filled="f" stroked="f" coordsize="21600,21600" o:gfxdata="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f1HzYdgAAAAMAQAADwAAAAAAAAABACAAAAAiAAAAZHJzL2Rvd25yZXYueG1sUEsBAhQA&#10;FAAAAAgAh07iQEZJug25AQAAWwMAAA4AAAAAAAAAAQAgAAAAJwEAAGRycy9lMm9Eb2MueG1sUEsF&#10;BgAAAAAGAAYAWQEAAFIFAAAAAA==&#10;">
                  <v:fill on="f" focussize="0,0"/>
                  <v:stroke on="f"/>
                  <v:imagedata o:title=""/>
                  <o:lock v:ext="edit" aspectratio="f"/>
                  <v:textbox>
                    <w:txbxContent>
                      <w:p w14:paraId="21367EDF">
                        <w:pPr>
                          <w:rPr>
                            <w:rFonts w:hint="default"/>
                            <w:lang w:val="en-US" w:eastAsia="zh-CN"/>
                          </w:rPr>
                        </w:pPr>
                        <w:r>
                          <w:rPr>
                            <w:rFonts w:hint="eastAsia"/>
                            <w:lang w:val="en-US" w:eastAsia="zh-CN"/>
                          </w:rPr>
                          <w:t>小路</w:t>
                        </w:r>
                      </w:p>
                    </w:txbxContent>
                  </v:textbox>
                </v:shape>
                <v:rect id="矩形 50" o:spid="_x0000_s1026" o:spt="1" style="position:absolute;left:2232025;top:596265;height:2038985;width:2641600;" filled="f" stroked="t" coordsize="21600,21600" o:gfxdata="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1s+/ZAAAADAEAAA8AAAAAAAAAAQAgAAAAIgAAAGRy&#10;cy9kb3ducmV2LnhtbFBLAQIUABQAAAAIAIdO4kDU4d3aBAIAAAMEAAAOAAAAAAAAAAEAIAAAACgB&#10;AABkcnMvZTJvRG9jLnhtbFBLBQYAAAAABgAGAFkBAACeBQAAAAA=&#10;">
                  <v:fill on="f" focussize="0,0"/>
                  <v:stroke color="#000000" joinstyle="miter"/>
                  <v:imagedata o:title=""/>
                  <o:lock v:ext="edit" aspectratio="f"/>
                </v:rect>
                <v:shape id="文本框 51" o:spid="_x0000_s1026" o:spt="202" type="#_x0000_t202" style="position:absolute;left:3281045;top:198120;height:347980;width:802005;" filled="f" stroked="f" coordsize="21600,21600" o:gfxdata="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H9R82HYAAAADAEAAA8AAAAAAAAAAQAgAAAAIgAAAGRycy9kb3ducmV2LnhtbFBLAQIUABQA&#10;AAAIAIdO4kCPtyBftwEAAFoDAAAOAAAAAAAAAAEAIAAAACcBAABkcnMvZTJvRG9jLnhtbFBLBQYA&#10;AAAABgAGAFkBAABQBQAAAAA=&#10;">
                  <v:fill on="f" focussize="0,0"/>
                  <v:stroke on="f"/>
                  <v:imagedata o:title=""/>
                  <o:lock v:ext="edit" aspectratio="f"/>
                  <v:textbox>
                    <w:txbxContent>
                      <w:p w14:paraId="65F78C7C">
                        <w:pPr>
                          <w:rPr>
                            <w:rFonts w:hint="default" w:eastAsia="宋体"/>
                            <w:lang w:val="en-US" w:eastAsia="zh-CN"/>
                          </w:rPr>
                        </w:pPr>
                        <w:r>
                          <w:rPr>
                            <w:rFonts w:hint="eastAsia"/>
                            <w:lang w:val="en-US" w:eastAsia="zh-CN"/>
                          </w:rPr>
                          <w:t>其它企业</w:t>
                        </w:r>
                      </w:p>
                    </w:txbxContent>
                  </v:textbox>
                </v:shape>
                <v:shape id="文本框 52" o:spid="_x0000_s1026" o:spt="202" type="#_x0000_t202" style="position:absolute;left:3192780;top:2680335;height:323850;width:912495;" filled="f" stroked="f" coordsize="21600,21600" o:gfxdata="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f1HzYdgAAAAMAQAADwAAAAAAAAABACAAAAAiAAAAZHJzL2Rvd25yZXYueG1sUEsB&#10;AhQAFAAAAAgAh07iQA6fDlm8AQAAWwMAAA4AAAAAAAAAAQAgAAAAJwEAAGRycy9lMm9Eb2MueG1s&#10;UEsFBgAAAAAGAAYAWQEAAFUFAAAAAA==&#10;">
                  <v:fill on="f" focussize="0,0"/>
                  <v:stroke on="f"/>
                  <v:imagedata o:title=""/>
                  <o:lock v:ext="edit" aspectratio="f"/>
                  <v:textbox>
                    <w:txbxContent>
                      <w:p w14:paraId="5BAA9D04">
                        <w:pPr>
                          <w:rPr>
                            <w:rFonts w:hint="default"/>
                            <w:lang w:val="en-US" w:eastAsia="zh-CN"/>
                          </w:rPr>
                        </w:pPr>
                        <w:r>
                          <w:rPr>
                            <w:rFonts w:hint="eastAsia"/>
                            <w:lang w:val="en-US" w:eastAsia="zh-CN"/>
                          </w:rPr>
                          <w:t>其它企业</w:t>
                        </w:r>
                      </w:p>
                      <w:p w14:paraId="754B46E8">
                        <w:pPr>
                          <w:rPr>
                            <w:rFonts w:hint="default"/>
                            <w:lang w:val="en-US" w:eastAsia="zh-CN"/>
                          </w:rPr>
                        </w:pPr>
                      </w:p>
                    </w:txbxContent>
                  </v:textbox>
                </v:shape>
                <v:shape id="文本框 53" o:spid="_x0000_s1026" o:spt="202" type="#_x0000_t202" style="position:absolute;left:5400040;top:1525270;height:330200;width:734060;" filled="f" stroked="f" coordsize="21600,21600" o:gfxdata="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H9R82HYAAAADAEAAA8AAAAAAAAAAQAgAAAAIgAAAGRycy9kb3ducmV2LnhtbFBLAQIUABQA&#10;AAAIAIdO4kCM+y2dtwEAAFsDAAAOAAAAAAAAAAEAIAAAACcBAABkcnMvZTJvRG9jLnhtbFBLBQYA&#10;AAAABgAGAFkBAABQBQAAAAA=&#10;">
                  <v:fill on="f" focussize="0,0"/>
                  <v:stroke on="f"/>
                  <v:imagedata o:title=""/>
                  <o:lock v:ext="edit" aspectratio="f"/>
                  <v:textbox>
                    <w:txbxContent>
                      <w:p w14:paraId="71AC96DE">
                        <w:pPr>
                          <w:rPr>
                            <w:rFonts w:hint="default"/>
                            <w:lang w:val="en-US" w:eastAsia="zh-CN"/>
                          </w:rPr>
                        </w:pPr>
                        <w:r>
                          <w:rPr>
                            <w:rFonts w:hint="eastAsia"/>
                            <w:lang w:val="en-US" w:eastAsia="zh-CN"/>
                          </w:rPr>
                          <w:t>空地</w:t>
                        </w:r>
                      </w:p>
                    </w:txbxContent>
                  </v:textbox>
                </v:shape>
                <v:line id="直接连接符 54" o:spid="_x0000_s1026" o:spt="20" style="position:absolute;left:605155;top:1235075;height:635;width:255905;" filled="f" stroked="t" coordsize="21600,21600" o:gfxdata="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NVWV8nbAAAADAEAAA8AAAAAAAAAAQAg&#10;AAAAIgAAAGRycy9kb3ducmV2LnhtbFBLAQIUABQAAAAIAIdO4kBc1gLsCwIAAPMDAAAOAAAAAAAA&#10;AAEAIAAAACoBAABkcnMvZTJvRG9jLnhtbFBLBQYAAAAABgAGAFkBAACnBQAAAAA=&#10;">
                  <v:fill on="f" focussize="0,0"/>
                  <v:stroke color="#000000" joinstyle="round" endarrow="open"/>
                  <v:imagedata o:title=""/>
                  <o:lock v:ext="edit" aspectratio="f"/>
                </v:line>
                <v:line id="直接连接符 55" o:spid="_x0000_s1026" o:spt="20" style="position:absolute;left:1609090;top:538480;flip:y;height:2298700;width:0;" filled="f" stroked="t" coordsize="21600,21600" o:gfxdata="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MCDsktgAAAAMAQAADwAAAAAAAAABACAAAAAi&#10;AAAAZHJzL2Rvd25yZXYueG1sUEsBAhQAFAAAAAgAh07iQI4bb6AKAgAA+wMAAA4AAAAAAAAAAQAg&#10;AAAAJwEAAGRycy9lMm9Eb2MueG1sUEsFBgAAAAAGAAYAWQEAAKMFAAAAAA==&#10;">
                  <v:fill on="f" focussize="0,0"/>
                  <v:stroke color="#000000" joinstyle="round"/>
                  <v:imagedata o:title=""/>
                  <o:lock v:ext="edit" aspectratio="f"/>
                </v:line>
                <v:line id="直接连接符 56" o:spid="_x0000_s1026" o:spt="20" style="position:absolute;left:1302385;top:539115;flip:y;height:2298700;width:0;" filled="f" stroked="t" coordsize="21600,21600" o:gfxdata="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MCDsktgAAAAMAQAADwAAAAAAAAABACAA&#10;AAAiAAAAZHJzL2Rvd25yZXYueG1sUEsBAhQAFAAAAAgAh07iQIiQwoENAgAA+wMAAA4AAAAAAAAA&#10;AQAgAAAAJwEAAGRycy9lMm9Eb2MueG1sUEsFBgAAAAAGAAYAWQEAAKYFAAAAAA==&#10;">
                  <v:fill on="f" focussize="0,0"/>
                  <v:stroke color="#000000" joinstyle="round"/>
                  <v:imagedata o:title=""/>
                  <o:lock v:ext="edit" aspectratio="f"/>
                </v:line>
                <v:shape id="文本框 57" o:spid="_x0000_s1026" o:spt="202" type="#_x0000_t202" style="position:absolute;left:4935855;top:4036695;height:330200;width:444499;" filled="f" stroked="f" coordsize="21600,21600" o:gfxdata="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H9R82HYAAAADAEAAA8AAAAAAAAAAQAgAAAAIgAAAGRycy9kb3ducmV2LnhtbFBLAQIUABQA&#10;AAAIAIdO4kDWOKDytwEAAFsDAAAOAAAAAAAAAAEAIAAAACcBAABkcnMvZTJvRG9jLnhtbFBLBQYA&#10;AAAABgAGAFkBAABQBQAAAAA=&#10;">
                  <v:fill on="f" focussize="0,0"/>
                  <v:stroke on="f"/>
                  <v:imagedata o:title=""/>
                  <o:lock v:ext="edit" aspectratio="f"/>
                  <v:textbox>
                    <w:txbxContent>
                      <w:p w14:paraId="3E336028">
                        <w:r>
                          <w:rPr>
                            <w:sz w:val="18"/>
                            <w:szCs w:val="18"/>
                          </w:rPr>
                          <w:t>▲</w:t>
                        </w:r>
                        <w:r>
                          <w:rPr>
                            <w:rFonts w:hint="eastAsia"/>
                            <w:sz w:val="21"/>
                            <w:szCs w:val="21"/>
                            <w:lang w:val="en-US" w:eastAsia="zh-CN"/>
                          </w:rPr>
                          <w:t>4</w:t>
                        </w:r>
                        <w:r>
                          <w:rPr>
                            <w:vertAlign w:val="superscript"/>
                          </w:rPr>
                          <w:t>#</w:t>
                        </w:r>
                      </w:p>
                    </w:txbxContent>
                  </v:textbox>
                </v:shape>
                <v:shape id="文本框 58" o:spid="_x0000_s1026" o:spt="202" type="#_x0000_t202" style="position:absolute;left:4666615;top:3148330;height:330200;width:444500;" filled="f" stroked="f" coordsize="21600,21600" o:gfxdata="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f1HzYdgAAAAMAQAADwAAAAAAAAABACAAAAAiAAAAZHJzL2Rvd25yZXYueG1sUEsBAhQAFAAA&#10;AAgAh07iQG8pbsC2AQAAWwMAAA4AAAAAAAAAAQAgAAAAJwEAAGRycy9lMm9Eb2MueG1sUEsFBgAA&#10;AAAGAAYAWQEAAE8FAAAAAA==&#10;">
                  <v:fill on="f" focussize="0,0"/>
                  <v:stroke on="f"/>
                  <v:imagedata o:title=""/>
                  <o:lock v:ext="edit" aspectratio="f"/>
                  <v:textbox>
                    <w:txbxContent>
                      <w:p w14:paraId="3BB95A88">
                        <w:r>
                          <w:rPr>
                            <w:sz w:val="18"/>
                            <w:szCs w:val="18"/>
                          </w:rPr>
                          <w:t>▲</w:t>
                        </w:r>
                        <w:r>
                          <w:rPr>
                            <w:rFonts w:hint="eastAsia"/>
                            <w:sz w:val="21"/>
                            <w:szCs w:val="21"/>
                            <w:lang w:val="en-US" w:eastAsia="zh-CN"/>
                          </w:rPr>
                          <w:t>3</w:t>
                        </w:r>
                        <w:r>
                          <w:rPr>
                            <w:vertAlign w:val="superscript"/>
                          </w:rPr>
                          <w:t>#</w:t>
                        </w:r>
                      </w:p>
                    </w:txbxContent>
                  </v:textbox>
                </v:shape>
                <v:shape id="文本框 59" o:spid="_x0000_s1026" o:spt="202" type="#_x0000_t202" style="position:absolute;left:1871980;top:1221740;height:330201;width:444500;" filled="f" stroked="f" coordsize="21600,21600" o:gfxdata="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UfNh2AAAAAwBAAAPAAAAAAAAAAEAIAAAACIAAABkcnMvZG93bnJldi54bWxQSwECFAAU&#10;AAAACACHTuJAXdrF6LgBAABbAwAADgAAAAAAAAABACAAAAAnAQAAZHJzL2Uyb0RvYy54bWxQSwUG&#10;AAAAAAYABgBZAQAAUQUAAAAA&#10;">
                  <v:fill on="f" focussize="0,0"/>
                  <v:stroke on="f"/>
                  <v:imagedata o:title=""/>
                  <o:lock v:ext="edit" aspectratio="f"/>
                  <v:textbox>
                    <w:txbxContent>
                      <w:p w14:paraId="42238320">
                        <w:r>
                          <w:rPr>
                            <w:sz w:val="18"/>
                            <w:szCs w:val="18"/>
                          </w:rPr>
                          <w:t>▲</w:t>
                        </w:r>
                        <w:r>
                          <w:rPr>
                            <w:rFonts w:hint="eastAsia"/>
                            <w:sz w:val="21"/>
                            <w:szCs w:val="21"/>
                            <w:lang w:val="en-US" w:eastAsia="zh-CN"/>
                          </w:rPr>
                          <w:t>2</w:t>
                        </w:r>
                        <w:r>
                          <w:rPr>
                            <w:vertAlign w:val="superscript"/>
                          </w:rPr>
                          <w:t>#</w:t>
                        </w:r>
                      </w:p>
                    </w:txbxContent>
                  </v:textbox>
                </v:shape>
                <v:shape id="文本框 60" o:spid="_x0000_s1026" o:spt="202" type="#_x0000_t202" style="position:absolute;left:4845685;top:1339215;height:330200;width:444499;" filled="f" stroked="f" coordsize="21600,21600" o:gfxdata="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UfNh2AAAAAwBAAAPAAAAAAAAAAEAIAAAACIAAABkcnMvZG93bnJldi54bWxQSwECFAAU&#10;AAAACACHTuJAr4P5HbgBAABbAwAADgAAAAAAAAABACAAAAAnAQAAZHJzL2Uyb0RvYy54bWxQSwUG&#10;AAAAAAYABgBZAQAAUQUAAAAA&#10;">
                  <v:fill on="f" focussize="0,0"/>
                  <v:stroke on="f"/>
                  <v:imagedata o:title=""/>
                  <o:lock v:ext="edit" aspectratio="f"/>
                  <v:textbox>
                    <w:txbxContent>
                      <w:p w14:paraId="13475D83">
                        <w:r>
                          <w:rPr>
                            <w:sz w:val="18"/>
                            <w:szCs w:val="18"/>
                          </w:rPr>
                          <w:t>▲</w:t>
                        </w:r>
                        <w:r>
                          <w:rPr>
                            <w:rFonts w:hint="eastAsia"/>
                            <w:sz w:val="21"/>
                            <w:szCs w:val="21"/>
                            <w:lang w:val="en-US" w:eastAsia="zh-CN"/>
                          </w:rPr>
                          <w:t>1</w:t>
                        </w:r>
                        <w:r>
                          <w:rPr>
                            <w:vertAlign w:val="superscript"/>
                          </w:rPr>
                          <w:t>#</w:t>
                        </w:r>
                      </w:p>
                    </w:txbxContent>
                  </v:textbox>
                </v:shape>
                <v:shape id="文本框 61" o:spid="_x0000_s1026" o:spt="202" type="#_x0000_t202" style="position:absolute;left:4352925;top:4078605;height:330201;width:723900;" filled="f" stroked="f" coordsize="21600,21600" o:gfxdata="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H9R82HYAAAADAEAAA8AAAAAAAAAAQAgAAAAIgAAAGRycy9kb3ducmV2LnhtbFBLAQIU&#10;ABQAAAAIAIdO4kBNnfOUugEAAFsDAAAOAAAAAAAAAAEAIAAAACcBAABkcnMvZTJvRG9jLnhtbFBL&#10;BQYAAAAABgAGAFkBAABTBQAAAAA=&#10;">
                  <v:fill on="f" focussize="0,0"/>
                  <v:stroke on="f"/>
                  <v:imagedata o:title=""/>
                  <o:lock v:ext="edit" aspectratio="f"/>
                  <v:textbox>
                    <w:txbxContent>
                      <w:p w14:paraId="12F6FAFC">
                        <w:pPr>
                          <w:rPr>
                            <w:rFonts w:hint="default"/>
                            <w:sz w:val="18"/>
                            <w:szCs w:val="21"/>
                            <w:lang w:val="en-US" w:eastAsia="zh-CN"/>
                          </w:rPr>
                        </w:pPr>
                        <w:r>
                          <w:rPr>
                            <w:rFonts w:hint="eastAsia" w:ascii="Times New Roman" w:hAnsi="Times New Roman" w:eastAsia="宋体" w:cs="Times New Roman"/>
                            <w:b w:val="0"/>
                            <w:bCs w:val="0"/>
                            <w:sz w:val="21"/>
                            <w:szCs w:val="21"/>
                            <w:highlight w:val="none"/>
                            <w:lang w:val="en-US" w:eastAsia="zh-CN"/>
                          </w:rPr>
                          <w:t>尚文小学</w:t>
                        </w:r>
                      </w:p>
                    </w:txbxContent>
                  </v:textbox>
                </v:shape>
                <v:shape id="文本框 62" o:spid="_x0000_s1026" o:spt="202" type="#_x0000_t202" style="position:absolute;left:3682365;top:3171825;height:330200;width:1325246;" filled="f" stroked="f" coordsize="21600,21600" o:gfxdata="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f1HzYdgAAAAMAQAADwAAAAAAAAABACAAAAAiAAAAZHJzL2Rvd25yZXYueG1sUEsBAhQA&#10;FAAAAAgAh07iQExmK7W5AQAAXAMAAA4AAAAAAAAAAQAgAAAAJwEAAGRycy9lMm9Eb2MueG1sUEsF&#10;BgAAAAAGAAYAWQEAAFIFAAAAAA==&#10;">
                  <v:fill on="f" focussize="0,0"/>
                  <v:stroke on="f"/>
                  <v:imagedata o:title=""/>
                  <o:lock v:ext="edit" aspectratio="f"/>
                  <v:textbox>
                    <w:txbxContent>
                      <w:p w14:paraId="47B52D8C">
                        <w:pPr>
                          <w:rPr>
                            <w:rFonts w:hint="default"/>
                            <w:sz w:val="18"/>
                            <w:szCs w:val="21"/>
                            <w:lang w:val="en-US" w:eastAsia="zh-CN"/>
                          </w:rPr>
                        </w:pPr>
                        <w:r>
                          <w:rPr>
                            <w:rFonts w:hint="eastAsia" w:ascii="Times New Roman" w:hAnsi="Times New Roman" w:eastAsia="宋体" w:cs="Times New Roman"/>
                            <w:b w:val="0"/>
                            <w:bCs w:val="0"/>
                            <w:sz w:val="21"/>
                            <w:szCs w:val="21"/>
                            <w:highlight w:val="none"/>
                            <w:lang w:val="en-US" w:eastAsia="zh-CN"/>
                          </w:rPr>
                          <w:t>天才宝贝幼儿园</w:t>
                        </w:r>
                      </w:p>
                    </w:txbxContent>
                  </v:textbox>
                </v:shape>
                <v:shape id="文本框 63" o:spid="_x0000_s1026" o:spt="202" type="#_x0000_t202" style="position:absolute;left:3275330;top:1417955;height:279399;width:444500;" filled="f" stroked="f" coordsize="21600,21600" o:gfxdata="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f1HzYdgAAAAMAQAADwAAAAAAAAABACAAAAAiAAAAZHJzL2Rvd25yZXYueG1sUEsBAhQA&#10;FAAAAAgAh07iQHOIp1m5AQAAWwMAAA4AAAAAAAAAAQAgAAAAJwEAAGRycy9lMm9Eb2MueG1sUEsF&#10;BgAAAAAGAAYAWQEAAFIFAAAAAA==&#10;">
                  <v:fill on="f" focussize="0,0"/>
                  <v:stroke on="f"/>
                  <v:imagedata o:title=""/>
                  <o:lock v:ext="edit" aspectratio="f"/>
                  <v:textbox>
                    <w:txbxContent>
                      <w:p w14:paraId="43708A8B">
                        <w:pPr>
                          <w:rPr>
                            <w:rFonts w:hint="default" w:ascii="Times New Roman" w:hAnsi="Times New Roman" w:cs="Times New Roman"/>
                            <w:color w:val="auto"/>
                          </w:rPr>
                        </w:pPr>
                        <w:r>
                          <w:rPr>
                            <w:rFonts w:hint="eastAsia" w:ascii="宋体" w:hAnsi="宋体" w:eastAsia="宋体" w:cs="宋体"/>
                            <w:color w:val="auto"/>
                            <w:sz w:val="18"/>
                            <w:szCs w:val="18"/>
                          </w:rPr>
                          <w:t>○</w:t>
                        </w:r>
                        <w:r>
                          <w:rPr>
                            <w:rFonts w:hint="eastAsia" w:ascii="Times New Roman" w:hAnsi="Times New Roman" w:eastAsia="宋体" w:cs="Times New Roman"/>
                            <w:color w:val="auto"/>
                            <w:lang w:val="en-US" w:eastAsia="zh-CN"/>
                          </w:rPr>
                          <w:t>5</w:t>
                        </w:r>
                        <w:r>
                          <w:rPr>
                            <w:rFonts w:hint="default" w:ascii="Times New Roman" w:hAnsi="Times New Roman" w:cs="Times New Roman"/>
                            <w:color w:val="auto"/>
                            <w:vertAlign w:val="superscript"/>
                          </w:rPr>
                          <w:t>#</w:t>
                        </w:r>
                      </w:p>
                    </w:txbxContent>
                  </v:textbox>
                </v:shape>
                <v:line id="直接连接符 64" o:spid="_x0000_s1026" o:spt="20" style="position:absolute;left:2239645;top:1475740;height:12065;width:2643505;" filled="f" stroked="t" coordsize="21600,21600" o:gfxdata="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NXi6jZAAAADAEAAA8AAAAAAAAAAQAgAAAAIgAAAGRy&#10;cy9kb3ducmV2LnhtbFBLAQIUABQAAAAIAIdO4kAaLVhPBAIAAPYDAAAOAAAAAAAAAAEAIAAAACgB&#10;AABkcnMvZTJvRG9jLnhtbFBLBQYAAAAABgAGAFkBAACeBQAAAAA=&#10;">
                  <v:fill on="f" focussize="0,0"/>
                  <v:stroke color="#000000" joinstyle="round"/>
                  <v:imagedata o:title=""/>
                  <o:lock v:ext="edit" aspectratio="f"/>
                </v:line>
                <v:shape id="文本框 65" o:spid="_x0000_s1026" o:spt="202" type="#_x0000_t202" style="position:absolute;left:3091180;top:960120;height:317501;width:901699;" filled="f" stroked="f" coordsize="21600,21600" o:gfxdata="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f1HzYdgAAAAMAQAADwAAAAAAAAABACAAAAAiAAAAZHJzL2Rvd25yZXYueG1sUEsBAhQA&#10;FAAAAAgAh07iQIGenPG5AQAAWgMAAA4AAAAAAAAAAQAgAAAAJwEAAGRycy9lMm9Eb2MueG1sUEsF&#10;BgAAAAAGAAYAWQEAAFIFAAAAAA==&#10;">
                  <v:fill on="f" focussize="0,0"/>
                  <v:stroke on="f"/>
                  <v:imagedata o:title=""/>
                  <o:lock v:ext="edit" aspectratio="f"/>
                  <v:textbox>
                    <w:txbxContent>
                      <w:p w14:paraId="043ABA96">
                        <w:pPr>
                          <w:rPr>
                            <w:rFonts w:hint="default"/>
                            <w:lang w:val="en-US" w:eastAsia="zh-CN"/>
                          </w:rPr>
                        </w:pPr>
                        <w:r>
                          <w:rPr>
                            <w:rFonts w:hint="eastAsia"/>
                            <w:lang w:val="en-US" w:eastAsia="zh-CN"/>
                          </w:rPr>
                          <w:t>生产区</w:t>
                        </w:r>
                      </w:p>
                    </w:txbxContent>
                  </v:textbox>
                </v:shape>
                <v:shape id="文本框 66" o:spid="_x0000_s1026" o:spt="202" type="#_x0000_t202" style="position:absolute;left:3763645;top:965835;height:266700;width:444500;" filled="f" stroked="f" coordsize="21600,21600" o:gfxdata="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H9R82HYAAAADAEAAA8AAAAAAAAAAQAgAAAAIgAAAGRycy9kb3ducmV2LnhtbFBLAQIU&#10;ABQAAAAIAIdO4kCxtFVyugEAAFoDAAAOAAAAAAAAAAEAIAAAACcBAABkcnMvZTJvRG9jLnhtbFBL&#10;BQYAAAAABgAGAFkBAABTBQAAAAA=&#10;">
                  <v:fill on="f" focussize="0,0"/>
                  <v:stroke on="f"/>
                  <v:imagedata o:title=""/>
                  <o:lock v:ext="edit" aspectratio="f"/>
                  <v:textbox>
                    <w:txbxContent>
                      <w:p w14:paraId="398007CD">
                        <w:pPr>
                          <w:rPr>
                            <w:rFonts w:hint="default"/>
                          </w:rPr>
                        </w:pPr>
                        <w:r>
                          <w:rPr>
                            <w:rFonts w:hint="default" w:ascii="Times New Roman" w:hAnsi="Times New Roman" w:eastAsia="宋体" w:cs="Times New Roman"/>
                          </w:rPr>
                          <w:t>△</w:t>
                        </w:r>
                      </w:p>
                    </w:txbxContent>
                  </v:textbox>
                </v:shape>
                <w10:wrap type="topAndBottom"/>
              </v:group>
            </w:pict>
          </mc:Fallback>
        </mc:AlternateContent>
      </w:r>
    </w:p>
    <w:p w14:paraId="07EA02D7">
      <w:pPr>
        <w:pStyle w:val="4"/>
        <w:keepNext/>
        <w:keepLines/>
        <w:pageBreakBefore w:val="0"/>
        <w:widowControl w:val="0"/>
        <w:kinsoku/>
        <w:wordWrap/>
        <w:overflowPunct/>
        <w:topLinePunct w:val="0"/>
        <w:autoSpaceDE/>
        <w:autoSpaceDN/>
        <w:bidi w:val="0"/>
        <w:adjustRightInd/>
        <w:snapToGrid/>
        <w:spacing w:before="0" w:after="0" w:line="480" w:lineRule="exact"/>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31" w:name="_Toc20879"/>
      <w:r>
        <w:rPr>
          <w:rFonts w:hint="default" w:ascii="Times New Roman" w:hAnsi="Times New Roman" w:eastAsia="宋体" w:cs="Times New Roman"/>
          <w:color w:val="000000" w:themeColor="text1"/>
          <w:highlight w:val="none"/>
          <w14:textFill>
            <w14:solidFill>
              <w14:schemeClr w14:val="tx1"/>
            </w14:solidFill>
          </w14:textFill>
        </w:rPr>
        <w:t>8质量保证和质量控制</w:t>
      </w:r>
      <w:bookmarkEnd w:id="31"/>
    </w:p>
    <w:p w14:paraId="08AABF9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唐山市康泰科技有限公司</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委托</w:t>
      </w:r>
      <w:r>
        <w:rPr>
          <w:rFonts w:hint="default"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唐山一方检测技术有限公司</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于202</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6</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年</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03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月</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23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日至</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03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月</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24</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日进行了竣工验收检测并出具了检测报告。</w:t>
      </w:r>
    </w:p>
    <w:p w14:paraId="273FE231">
      <w:pPr>
        <w:pStyle w:val="5"/>
        <w:keepNext/>
        <w:keepLines/>
        <w:pageBreakBefore w:val="0"/>
        <w:widowControl w:val="0"/>
        <w:kinsoku/>
        <w:wordWrap/>
        <w:overflowPunct/>
        <w:topLinePunct w:val="0"/>
        <w:autoSpaceDE/>
        <w:autoSpaceDN/>
        <w:bidi w:val="0"/>
        <w:adjustRightInd/>
        <w:snapToGrid/>
        <w:spacing w:before="0" w:after="0" w:line="480" w:lineRule="exact"/>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32" w:name="_Toc6217"/>
      <w:r>
        <w:rPr>
          <w:rFonts w:hint="default" w:ascii="Times New Roman" w:hAnsi="Times New Roman" w:eastAsia="宋体" w:cs="Times New Roman"/>
          <w:color w:val="000000" w:themeColor="text1"/>
          <w:highlight w:val="none"/>
          <w14:textFill>
            <w14:solidFill>
              <w14:schemeClr w14:val="tx1"/>
            </w14:solidFill>
          </w14:textFill>
        </w:rPr>
        <w:t>8.1监测分析方法</w:t>
      </w:r>
      <w:bookmarkEnd w:id="32"/>
    </w:p>
    <w:p w14:paraId="06F7E936">
      <w:pPr>
        <w:keepNext w:val="0"/>
        <w:keepLines w:val="0"/>
        <w:pageBreakBefore w:val="0"/>
        <w:widowControl w:val="0"/>
        <w:numPr>
          <w:ilvl w:val="0"/>
          <w:numId w:val="6"/>
        </w:numPr>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废水检测</w:t>
      </w:r>
    </w:p>
    <w:p w14:paraId="03FFEBC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废</w:t>
      </w:r>
      <w:r>
        <w:rPr>
          <w:rFonts w:hint="eastAsia" w:ascii="Times New Roman" w:hAnsi="Times New Roman" w:eastAsia="宋体" w:cs="Times New Roman"/>
          <w:color w:val="auto"/>
          <w:sz w:val="24"/>
          <w:szCs w:val="24"/>
          <w:highlight w:val="none"/>
          <w:lang w:val="en-US" w:eastAsia="zh-CN"/>
        </w:rPr>
        <w:t>水检测</w:t>
      </w:r>
      <w:r>
        <w:rPr>
          <w:rFonts w:hint="default" w:ascii="Times New Roman" w:hAnsi="Times New Roman" w:eastAsia="宋体" w:cs="Times New Roman"/>
          <w:color w:val="auto"/>
          <w:sz w:val="24"/>
          <w:szCs w:val="24"/>
          <w:highlight w:val="none"/>
        </w:rPr>
        <w:t>具体分析方法见表8-</w:t>
      </w:r>
      <w:r>
        <w:rPr>
          <w:rFonts w:hint="eastAsia"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w:t>
      </w:r>
    </w:p>
    <w:p w14:paraId="74EA2AF1">
      <w:pPr>
        <w:keepNext w:val="0"/>
        <w:keepLines w:val="0"/>
        <w:pageBreakBefore w:val="0"/>
        <w:widowControl w:val="0"/>
        <w:kinsoku/>
        <w:wordWrap/>
        <w:overflowPunct/>
        <w:topLinePunct w:val="0"/>
        <w:autoSpaceDE/>
        <w:autoSpaceDN/>
        <w:bidi w:val="0"/>
        <w:adjustRightInd/>
        <w:snapToGrid/>
        <w:spacing w:line="480" w:lineRule="exact"/>
        <w:ind w:firstLine="482" w:firstLineChars="200"/>
        <w:jc w:val="center"/>
        <w:textAlignment w:val="auto"/>
        <w:rPr>
          <w:rFonts w:hint="default" w:ascii="Times New Roman" w:hAnsi="Times New Roman" w:eastAsia="宋体" w:cs="Times New Roman"/>
          <w:b/>
          <w:bCs w:val="0"/>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val="0"/>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宋体" w:cs="Times New Roman"/>
          <w:b/>
          <w:bCs w:val="0"/>
          <w:color w:val="000000" w:themeColor="text1"/>
          <w:sz w:val="24"/>
          <w:szCs w:val="24"/>
          <w:highlight w:val="none"/>
          <w14:textFill>
            <w14:solidFill>
              <w14:schemeClr w14:val="tx1"/>
            </w14:solidFill>
          </w14:textFill>
        </w:rPr>
        <w:t>表8-</w:t>
      </w:r>
      <w:r>
        <w:rPr>
          <w:rFonts w:hint="eastAsia" w:ascii="Times New Roman" w:hAnsi="Times New Roman" w:eastAsia="宋体" w:cs="Times New Roman"/>
          <w:b/>
          <w:bCs w:val="0"/>
          <w:color w:val="000000" w:themeColor="text1"/>
          <w:sz w:val="24"/>
          <w:szCs w:val="24"/>
          <w:highlight w:val="none"/>
          <w:lang w:val="en-US" w:eastAsia="zh-CN"/>
          <w14:textFill>
            <w14:solidFill>
              <w14:schemeClr w14:val="tx1"/>
            </w14:solidFill>
          </w14:textFill>
        </w:rPr>
        <w:t xml:space="preserve">1  </w:t>
      </w:r>
      <w:r>
        <w:rPr>
          <w:rFonts w:hint="default" w:ascii="Times New Roman" w:hAnsi="Times New Roman" w:eastAsia="宋体" w:cs="Times New Roman"/>
          <w:b/>
          <w:bCs w:val="0"/>
          <w:color w:val="000000" w:themeColor="text1"/>
          <w:sz w:val="24"/>
          <w:szCs w:val="24"/>
          <w:highlight w:val="none"/>
          <w:lang w:val="en-US" w:eastAsia="zh-CN"/>
          <w14:textFill>
            <w14:solidFill>
              <w14:schemeClr w14:val="tx1"/>
            </w14:solidFill>
          </w14:textFill>
        </w:rPr>
        <w:t xml:space="preserve"> </w:t>
      </w:r>
      <w:r>
        <w:rPr>
          <w:rFonts w:hint="eastAsia" w:ascii="Times New Roman" w:hAnsi="Times New Roman" w:eastAsia="宋体" w:cs="Times New Roman"/>
          <w:b/>
          <w:bCs w:val="0"/>
          <w:color w:val="000000" w:themeColor="text1"/>
          <w:sz w:val="24"/>
          <w:szCs w:val="24"/>
          <w:highlight w:val="none"/>
          <w:lang w:val="en-US" w:eastAsia="zh-CN"/>
          <w14:textFill>
            <w14:solidFill>
              <w14:schemeClr w14:val="tx1"/>
            </w14:solidFill>
          </w14:textFill>
        </w:rPr>
        <w:t>废水</w:t>
      </w:r>
      <w:r>
        <w:rPr>
          <w:rFonts w:hint="default" w:ascii="Times New Roman" w:hAnsi="Times New Roman" w:eastAsia="宋体" w:cs="Times New Roman"/>
          <w:b/>
          <w:bCs w:val="0"/>
          <w:color w:val="000000" w:themeColor="text1"/>
          <w:sz w:val="24"/>
          <w:szCs w:val="24"/>
          <w:highlight w:val="none"/>
          <w14:textFill>
            <w14:solidFill>
              <w14:schemeClr w14:val="tx1"/>
            </w14:solidFill>
          </w14:textFill>
        </w:rPr>
        <w:t xml:space="preserve">检测方法一览表 </w:t>
      </w:r>
      <w:r>
        <w:rPr>
          <w:rFonts w:hint="default" w:ascii="Times New Roman" w:hAnsi="Times New Roman" w:eastAsia="宋体" w:cs="Times New Roman"/>
          <w:color w:val="auto"/>
          <w:highlight w:val="none"/>
        </w:rPr>
        <w:t xml:space="preserve"> </w:t>
      </w:r>
      <w:r>
        <w:rPr>
          <w:rFonts w:hint="default" w:ascii="Times New Roman" w:hAnsi="Times New Roman" w:eastAsia="宋体" w:cs="Times New Roman"/>
          <w:color w:val="auto"/>
          <w:highlight w:val="none"/>
          <w:lang w:val="en-US" w:eastAsia="zh-CN"/>
        </w:rPr>
        <w:t xml:space="preserve">     </w:t>
      </w:r>
      <w:r>
        <w:rPr>
          <w:rFonts w:hint="default" w:ascii="Times New Roman" w:hAnsi="Times New Roman" w:eastAsia="宋体" w:cs="Times New Roman"/>
          <w:color w:val="auto"/>
          <w:highlight w:val="none"/>
        </w:rPr>
        <w:t>单位：mg/</w:t>
      </w:r>
      <w:r>
        <w:rPr>
          <w:rFonts w:hint="default" w:ascii="Times New Roman" w:hAnsi="Times New Roman" w:eastAsia="宋体" w:cs="Times New Roman"/>
          <w:color w:val="auto"/>
          <w:highlight w:val="none"/>
          <w:lang w:val="en-US" w:eastAsia="zh-CN"/>
        </w:rPr>
        <w:t>L</w:t>
      </w:r>
      <w:r>
        <w:rPr>
          <w:rFonts w:hint="default"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val="en-US" w:eastAsia="zh-CN"/>
        </w:rPr>
        <w:t>特殊注明除外）</w:t>
      </w:r>
    </w:p>
    <w:tbl>
      <w:tblPr>
        <w:tblStyle w:val="32"/>
        <w:tblW w:w="8591" w:type="dxa"/>
        <w:tblInd w:w="-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9"/>
        <w:gridCol w:w="1193"/>
        <w:gridCol w:w="2944"/>
        <w:gridCol w:w="2745"/>
        <w:gridCol w:w="1170"/>
      </w:tblGrid>
      <w:tr w14:paraId="5CB30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exact"/>
          <w:tblHeader/>
        </w:trPr>
        <w:tc>
          <w:tcPr>
            <w:tcW w:w="1732" w:type="dxa"/>
            <w:gridSpan w:val="2"/>
            <w:noWrap w:val="0"/>
            <w:vAlign w:val="center"/>
          </w:tcPr>
          <w:p w14:paraId="0FD31ABB">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t>检测项目</w:t>
            </w:r>
          </w:p>
        </w:tc>
        <w:tc>
          <w:tcPr>
            <w:tcW w:w="2944" w:type="dxa"/>
            <w:noWrap w:val="0"/>
            <w:vAlign w:val="center"/>
          </w:tcPr>
          <w:p w14:paraId="3D53A33D">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t>分析方法及国标代号</w:t>
            </w:r>
          </w:p>
        </w:tc>
        <w:tc>
          <w:tcPr>
            <w:tcW w:w="2745" w:type="dxa"/>
            <w:noWrap w:val="0"/>
            <w:vAlign w:val="center"/>
          </w:tcPr>
          <w:p w14:paraId="001F5554">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t>仪器名称、编号</w:t>
            </w:r>
          </w:p>
        </w:tc>
        <w:tc>
          <w:tcPr>
            <w:tcW w:w="1170" w:type="dxa"/>
            <w:noWrap w:val="0"/>
            <w:vAlign w:val="center"/>
          </w:tcPr>
          <w:p w14:paraId="55A72EEA">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t>检出限</w:t>
            </w:r>
          </w:p>
        </w:tc>
      </w:tr>
      <w:tr w14:paraId="378E9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exact"/>
        </w:trPr>
        <w:tc>
          <w:tcPr>
            <w:tcW w:w="539" w:type="dxa"/>
            <w:vMerge w:val="restart"/>
            <w:noWrap w:val="0"/>
            <w:vAlign w:val="center"/>
          </w:tcPr>
          <w:p w14:paraId="69FADA99">
            <w:pPr>
              <w:snapToGrid w:val="0"/>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Cs w:val="21"/>
                <w:highlight w:val="none"/>
                <w:lang w:val="en-US" w:eastAsia="zh-CN"/>
              </w:rPr>
              <w:t>废水</w:t>
            </w:r>
          </w:p>
        </w:tc>
        <w:tc>
          <w:tcPr>
            <w:tcW w:w="1193" w:type="dxa"/>
            <w:noWrap w:val="0"/>
            <w:vAlign w:val="center"/>
          </w:tcPr>
          <w:p w14:paraId="6FECA143">
            <w:pPr>
              <w:adjustRightInd w:val="0"/>
              <w:snapToGrid w:val="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pH</w:t>
            </w:r>
          </w:p>
        </w:tc>
        <w:tc>
          <w:tcPr>
            <w:tcW w:w="2944" w:type="dxa"/>
            <w:noWrap w:val="0"/>
            <w:vAlign w:val="center"/>
          </w:tcPr>
          <w:p w14:paraId="72D9F8E6">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《水质 pH值的测定 电极法》</w:t>
            </w:r>
            <w:r>
              <w:rPr>
                <w:rFonts w:hint="eastAsia" w:ascii="Times New Roman" w:hAnsi="Times New Roman" w:eastAsia="宋体" w:cs="Times New Roman"/>
                <w:color w:val="auto"/>
                <w:kern w:val="0"/>
                <w:szCs w:val="21"/>
                <w:highlight w:val="none"/>
                <w:lang w:val="en-US" w:eastAsia="zh-CN"/>
              </w:rPr>
              <w:t>HJ 1147-2020</w:t>
            </w:r>
          </w:p>
        </w:tc>
        <w:tc>
          <w:tcPr>
            <w:tcW w:w="2745" w:type="dxa"/>
            <w:noWrap w:val="0"/>
            <w:vAlign w:val="center"/>
          </w:tcPr>
          <w:p w14:paraId="24F07AB9">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P611酸度计（YFJC-YQ-</w:t>
            </w:r>
            <w:r>
              <w:rPr>
                <w:rFonts w:hint="eastAsia" w:ascii="Times New Roman" w:hAnsi="Times New Roman" w:eastAsia="宋体" w:cs="Times New Roman"/>
                <w:color w:val="auto"/>
                <w:kern w:val="0"/>
                <w:szCs w:val="21"/>
                <w:highlight w:val="none"/>
                <w:lang w:val="en-US" w:eastAsia="zh-CN"/>
              </w:rPr>
              <w:t>156</w:t>
            </w:r>
            <w:r>
              <w:rPr>
                <w:rFonts w:hint="default" w:ascii="Times New Roman" w:hAnsi="Times New Roman" w:eastAsia="宋体" w:cs="Times New Roman"/>
                <w:color w:val="auto"/>
                <w:kern w:val="0"/>
                <w:szCs w:val="21"/>
                <w:highlight w:val="none"/>
                <w:lang w:val="en-US" w:eastAsia="zh-CN"/>
              </w:rPr>
              <w:t>）</w:t>
            </w:r>
          </w:p>
        </w:tc>
        <w:tc>
          <w:tcPr>
            <w:tcW w:w="1170" w:type="dxa"/>
            <w:noWrap w:val="0"/>
            <w:vAlign w:val="center"/>
          </w:tcPr>
          <w:p w14:paraId="62611A40">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w:t>
            </w:r>
          </w:p>
        </w:tc>
      </w:tr>
      <w:tr w14:paraId="0DBA0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exact"/>
        </w:trPr>
        <w:tc>
          <w:tcPr>
            <w:tcW w:w="539" w:type="dxa"/>
            <w:vMerge w:val="continue"/>
            <w:noWrap w:val="0"/>
            <w:vAlign w:val="center"/>
          </w:tcPr>
          <w:p w14:paraId="700C68F4">
            <w:pPr>
              <w:snapToGrid w:val="0"/>
              <w:jc w:val="center"/>
              <w:rPr>
                <w:rFonts w:hint="eastAsia" w:ascii="Times New Roman" w:hAnsi="Times New Roman" w:eastAsia="宋体" w:cs="Times New Roman"/>
                <w:color w:val="auto"/>
                <w:kern w:val="0"/>
                <w:szCs w:val="21"/>
                <w:highlight w:val="none"/>
                <w:lang w:val="en-US" w:eastAsia="zh-CN"/>
              </w:rPr>
            </w:pPr>
          </w:p>
        </w:tc>
        <w:tc>
          <w:tcPr>
            <w:tcW w:w="1193" w:type="dxa"/>
            <w:noWrap w:val="0"/>
            <w:vAlign w:val="center"/>
          </w:tcPr>
          <w:p w14:paraId="52A03913">
            <w:pPr>
              <w:adjustRightInd w:val="0"/>
              <w:snapToGrid w:val="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化学需氧量</w:t>
            </w:r>
          </w:p>
        </w:tc>
        <w:tc>
          <w:tcPr>
            <w:tcW w:w="2944" w:type="dxa"/>
            <w:noWrap w:val="0"/>
            <w:vAlign w:val="center"/>
          </w:tcPr>
          <w:p w14:paraId="0126909B">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eastAsia="zh-CN"/>
              </w:rPr>
              <w:t>《</w:t>
            </w:r>
            <w:r>
              <w:rPr>
                <w:rFonts w:hint="default" w:ascii="Times New Roman" w:hAnsi="Times New Roman" w:eastAsia="宋体" w:cs="Times New Roman"/>
                <w:color w:val="auto"/>
                <w:kern w:val="0"/>
                <w:szCs w:val="21"/>
                <w:highlight w:val="none"/>
                <w:lang w:val="en-US" w:eastAsia="zh-CN"/>
              </w:rPr>
              <w:t>水质 化学需氧量的测定 重铬酸盐法</w:t>
            </w:r>
            <w:r>
              <w:rPr>
                <w:rFonts w:hint="default" w:ascii="Times New Roman" w:hAnsi="Times New Roman" w:eastAsia="宋体" w:cs="Times New Roman"/>
                <w:color w:val="auto"/>
                <w:kern w:val="0"/>
                <w:szCs w:val="21"/>
                <w:highlight w:val="none"/>
                <w:lang w:eastAsia="zh-CN"/>
              </w:rPr>
              <w:t>》</w:t>
            </w:r>
            <w:r>
              <w:rPr>
                <w:rFonts w:hint="default" w:ascii="Times New Roman" w:hAnsi="Times New Roman" w:eastAsia="宋体" w:cs="Times New Roman"/>
                <w:color w:val="auto"/>
                <w:kern w:val="0"/>
                <w:szCs w:val="21"/>
                <w:highlight w:val="none"/>
                <w:lang w:val="en-US" w:eastAsia="zh-CN"/>
              </w:rPr>
              <w:t xml:space="preserve">       </w:t>
            </w:r>
            <w:r>
              <w:rPr>
                <w:rFonts w:hint="eastAsia" w:ascii="Times New Roman" w:hAnsi="Times New Roman" w:eastAsia="宋体" w:cs="Times New Roman"/>
                <w:color w:val="auto"/>
                <w:kern w:val="0"/>
                <w:szCs w:val="21"/>
                <w:highlight w:val="none"/>
                <w:lang w:val="en-US" w:eastAsia="zh-CN"/>
              </w:rPr>
              <w:t xml:space="preserve">     </w:t>
            </w:r>
            <w:r>
              <w:rPr>
                <w:rFonts w:hint="default" w:ascii="Times New Roman" w:hAnsi="Times New Roman" w:eastAsia="宋体" w:cs="Times New Roman"/>
                <w:color w:val="auto"/>
                <w:kern w:val="0"/>
                <w:szCs w:val="21"/>
                <w:highlight w:val="none"/>
                <w:lang w:val="en-US" w:eastAsia="zh-CN"/>
              </w:rPr>
              <w:t xml:space="preserve">  HJ 828-2017   </w:t>
            </w:r>
          </w:p>
        </w:tc>
        <w:tc>
          <w:tcPr>
            <w:tcW w:w="2745" w:type="dxa"/>
            <w:noWrap w:val="0"/>
            <w:vAlign w:val="center"/>
          </w:tcPr>
          <w:p w14:paraId="0BB05E6E">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50ml酸式滴定管</w:t>
            </w:r>
            <w:r>
              <w:rPr>
                <w:rFonts w:hint="eastAsia" w:ascii="Times New Roman" w:hAnsi="Times New Roman" w:eastAsia="宋体" w:cs="Times New Roman"/>
                <w:color w:val="auto"/>
                <w:kern w:val="0"/>
                <w:szCs w:val="21"/>
                <w:highlight w:val="none"/>
                <w:lang w:val="en-US" w:eastAsia="zh-CN"/>
              </w:rPr>
              <w:t xml:space="preserve">   </w:t>
            </w:r>
            <w:r>
              <w:rPr>
                <w:rFonts w:hint="default" w:ascii="Times New Roman" w:hAnsi="Times New Roman" w:eastAsia="宋体" w:cs="Times New Roman"/>
                <w:color w:val="auto"/>
                <w:kern w:val="0"/>
                <w:szCs w:val="21"/>
                <w:highlight w:val="none"/>
                <w:lang w:val="en-US" w:eastAsia="zh-CN"/>
              </w:rPr>
              <w:t>COD-HX12COD恒温加热器（YFJC-YQ-199）</w:t>
            </w:r>
          </w:p>
        </w:tc>
        <w:tc>
          <w:tcPr>
            <w:tcW w:w="1170" w:type="dxa"/>
            <w:noWrap w:val="0"/>
            <w:vAlign w:val="center"/>
          </w:tcPr>
          <w:p w14:paraId="53077637">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4</w:t>
            </w:r>
          </w:p>
        </w:tc>
      </w:tr>
      <w:tr w14:paraId="647D4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exact"/>
        </w:trPr>
        <w:tc>
          <w:tcPr>
            <w:tcW w:w="539" w:type="dxa"/>
            <w:vMerge w:val="continue"/>
            <w:noWrap w:val="0"/>
            <w:vAlign w:val="center"/>
          </w:tcPr>
          <w:p w14:paraId="6004D548">
            <w:pPr>
              <w:snapToGrid w:val="0"/>
              <w:jc w:val="center"/>
              <w:rPr>
                <w:rFonts w:hint="eastAsia" w:ascii="Times New Roman" w:hAnsi="Times New Roman" w:eastAsia="宋体" w:cs="Times New Roman"/>
                <w:color w:val="auto"/>
                <w:kern w:val="0"/>
                <w:szCs w:val="21"/>
                <w:highlight w:val="none"/>
                <w:lang w:val="en-US" w:eastAsia="zh-CN"/>
              </w:rPr>
            </w:pPr>
          </w:p>
        </w:tc>
        <w:tc>
          <w:tcPr>
            <w:tcW w:w="1193" w:type="dxa"/>
            <w:noWrap w:val="0"/>
            <w:vAlign w:val="center"/>
          </w:tcPr>
          <w:p w14:paraId="059C1147">
            <w:pPr>
              <w:adjustRightInd w:val="0"/>
              <w:snapToGrid w:val="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五日生化需氧量</w:t>
            </w:r>
          </w:p>
        </w:tc>
        <w:tc>
          <w:tcPr>
            <w:tcW w:w="2944" w:type="dxa"/>
            <w:noWrap w:val="0"/>
            <w:vAlign w:val="center"/>
          </w:tcPr>
          <w:p w14:paraId="120D0E23">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《水质 五日生化需氧量(BOD</w:t>
            </w:r>
            <w:r>
              <w:rPr>
                <w:rFonts w:hint="default" w:ascii="Times New Roman" w:hAnsi="Times New Roman" w:eastAsia="宋体" w:cs="Times New Roman"/>
                <w:color w:val="auto"/>
                <w:kern w:val="0"/>
                <w:szCs w:val="21"/>
                <w:highlight w:val="none"/>
                <w:vertAlign w:val="subscript"/>
                <w:lang w:val="en-US" w:eastAsia="zh-CN"/>
              </w:rPr>
              <w:t>5</w:t>
            </w:r>
            <w:r>
              <w:rPr>
                <w:rFonts w:hint="default" w:ascii="Times New Roman" w:hAnsi="Times New Roman" w:eastAsia="宋体" w:cs="Times New Roman"/>
                <w:color w:val="auto"/>
                <w:kern w:val="0"/>
                <w:szCs w:val="21"/>
                <w:highlight w:val="none"/>
                <w:lang w:val="en-US" w:eastAsia="zh-CN"/>
              </w:rPr>
              <w:t>)的测定 稀释与接种法》HJ 505-2009</w:t>
            </w:r>
          </w:p>
        </w:tc>
        <w:tc>
          <w:tcPr>
            <w:tcW w:w="2745" w:type="dxa"/>
            <w:noWrap w:val="0"/>
            <w:vAlign w:val="center"/>
          </w:tcPr>
          <w:p w14:paraId="2BC430FF">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SHX250III生化培养箱     （YFJC-YQ-098）</w:t>
            </w:r>
          </w:p>
        </w:tc>
        <w:tc>
          <w:tcPr>
            <w:tcW w:w="1170" w:type="dxa"/>
            <w:noWrap w:val="0"/>
            <w:vAlign w:val="center"/>
          </w:tcPr>
          <w:p w14:paraId="434CA9EF">
            <w:pPr>
              <w:adjustRightInd w:val="0"/>
              <w:snapToGrid w:val="0"/>
              <w:jc w:val="center"/>
              <w:rPr>
                <w:rFonts w:hint="eastAsia"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000000"/>
                <w:kern w:val="0"/>
                <w:szCs w:val="21"/>
                <w:highlight w:val="none"/>
                <w:lang w:val="en-US" w:eastAsia="zh-CN"/>
              </w:rPr>
              <w:t>0.5</w:t>
            </w:r>
          </w:p>
        </w:tc>
      </w:tr>
      <w:tr w14:paraId="6F817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539" w:type="dxa"/>
            <w:vMerge w:val="continue"/>
            <w:noWrap w:val="0"/>
            <w:vAlign w:val="center"/>
          </w:tcPr>
          <w:p w14:paraId="7002AED8">
            <w:pPr>
              <w:snapToGrid w:val="0"/>
              <w:jc w:val="center"/>
              <w:rPr>
                <w:rFonts w:hint="eastAsia" w:ascii="Times New Roman" w:hAnsi="Times New Roman" w:eastAsia="宋体" w:cs="Times New Roman"/>
                <w:color w:val="auto"/>
                <w:kern w:val="0"/>
                <w:szCs w:val="21"/>
                <w:highlight w:val="none"/>
                <w:lang w:val="en-US" w:eastAsia="zh-CN"/>
              </w:rPr>
            </w:pPr>
          </w:p>
        </w:tc>
        <w:tc>
          <w:tcPr>
            <w:tcW w:w="1193" w:type="dxa"/>
            <w:noWrap w:val="0"/>
            <w:vAlign w:val="center"/>
          </w:tcPr>
          <w:p w14:paraId="6420EF9A">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氨氮</w:t>
            </w:r>
          </w:p>
        </w:tc>
        <w:tc>
          <w:tcPr>
            <w:tcW w:w="2944" w:type="dxa"/>
            <w:noWrap w:val="0"/>
            <w:vAlign w:val="center"/>
          </w:tcPr>
          <w:p w14:paraId="2FB449C4">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《水质 氨氮的测定 纳氏试剂分光光度法》HJ 535-2009</w:t>
            </w:r>
          </w:p>
        </w:tc>
        <w:tc>
          <w:tcPr>
            <w:tcW w:w="2745" w:type="dxa"/>
            <w:noWrap w:val="0"/>
            <w:vAlign w:val="center"/>
          </w:tcPr>
          <w:p w14:paraId="0F47545A">
            <w:pPr>
              <w:adjustRightInd w:val="0"/>
              <w:snapToGrid w:val="0"/>
              <w:jc w:val="center"/>
              <w:rPr>
                <w:rFonts w:hint="eastAsia"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722N可见分光光度计    （YFJC-YQ-026）</w:t>
            </w:r>
          </w:p>
        </w:tc>
        <w:tc>
          <w:tcPr>
            <w:tcW w:w="1170" w:type="dxa"/>
            <w:noWrap w:val="0"/>
            <w:vAlign w:val="center"/>
          </w:tcPr>
          <w:p w14:paraId="3D29971C">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0.0</w:t>
            </w:r>
            <w:r>
              <w:rPr>
                <w:rFonts w:hint="eastAsia" w:ascii="Times New Roman" w:hAnsi="Times New Roman" w:eastAsia="宋体" w:cs="Times New Roman"/>
                <w:color w:val="auto"/>
                <w:kern w:val="0"/>
                <w:szCs w:val="21"/>
                <w:highlight w:val="none"/>
                <w:lang w:val="en-US" w:eastAsia="zh-CN"/>
              </w:rPr>
              <w:t>25</w:t>
            </w:r>
          </w:p>
        </w:tc>
      </w:tr>
      <w:tr w14:paraId="34809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539" w:type="dxa"/>
            <w:vMerge w:val="continue"/>
            <w:noWrap w:val="0"/>
            <w:vAlign w:val="center"/>
          </w:tcPr>
          <w:p w14:paraId="5219C61E">
            <w:pPr>
              <w:snapToGrid w:val="0"/>
              <w:jc w:val="center"/>
              <w:rPr>
                <w:rFonts w:hint="eastAsia" w:ascii="Times New Roman" w:hAnsi="Times New Roman" w:eastAsia="宋体" w:cs="Times New Roman"/>
                <w:color w:val="auto"/>
                <w:kern w:val="0"/>
                <w:szCs w:val="21"/>
                <w:highlight w:val="none"/>
                <w:lang w:val="en-US" w:eastAsia="zh-CN"/>
              </w:rPr>
            </w:pPr>
          </w:p>
        </w:tc>
        <w:tc>
          <w:tcPr>
            <w:tcW w:w="1193" w:type="dxa"/>
            <w:noWrap w:val="0"/>
            <w:vAlign w:val="center"/>
          </w:tcPr>
          <w:p w14:paraId="768BDBF0">
            <w:pPr>
              <w:adjustRightInd w:val="0"/>
              <w:snapToGrid w:val="0"/>
              <w:jc w:val="center"/>
              <w:rPr>
                <w:rFonts w:hint="eastAsia"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石油类</w:t>
            </w:r>
          </w:p>
        </w:tc>
        <w:tc>
          <w:tcPr>
            <w:tcW w:w="2944" w:type="dxa"/>
            <w:noWrap w:val="0"/>
            <w:vAlign w:val="center"/>
          </w:tcPr>
          <w:p w14:paraId="73994963">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《水质 石油类和动植物油类的测定 红外分光光度法》HJ 637-2018</w:t>
            </w:r>
          </w:p>
        </w:tc>
        <w:tc>
          <w:tcPr>
            <w:tcW w:w="2745" w:type="dxa"/>
            <w:noWrap w:val="0"/>
            <w:vAlign w:val="center"/>
          </w:tcPr>
          <w:p w14:paraId="5D5C0167">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O</w:t>
            </w:r>
            <w:r>
              <w:rPr>
                <w:rFonts w:hint="default" w:ascii="Times New Roman" w:hAnsi="Times New Roman" w:eastAsia="宋体" w:cs="Times New Roman"/>
                <w:color w:val="auto"/>
                <w:kern w:val="0"/>
                <w:szCs w:val="21"/>
                <w:highlight w:val="none"/>
                <w:lang w:val="en-US" w:eastAsia="zh-CN"/>
              </w:rPr>
              <w:t>L580红外测油仪（YFJC-YQ-054）</w:t>
            </w:r>
          </w:p>
        </w:tc>
        <w:tc>
          <w:tcPr>
            <w:tcW w:w="1170" w:type="dxa"/>
            <w:noWrap w:val="0"/>
            <w:vAlign w:val="center"/>
          </w:tcPr>
          <w:p w14:paraId="39A4E993">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0.06</w:t>
            </w:r>
          </w:p>
        </w:tc>
      </w:tr>
      <w:tr w14:paraId="34E1D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9" w:type="dxa"/>
            <w:vMerge w:val="continue"/>
            <w:noWrap w:val="0"/>
            <w:vAlign w:val="center"/>
          </w:tcPr>
          <w:p w14:paraId="2856712A">
            <w:pPr>
              <w:snapToGrid w:val="0"/>
              <w:jc w:val="center"/>
              <w:rPr>
                <w:rFonts w:hint="default" w:ascii="Times New Roman" w:hAnsi="Times New Roman" w:eastAsia="宋体" w:cs="Times New Roman"/>
                <w:color w:val="auto"/>
                <w:kern w:val="0"/>
                <w:szCs w:val="21"/>
                <w:highlight w:val="none"/>
                <w:lang w:val="en-US" w:eastAsia="zh-CN"/>
              </w:rPr>
            </w:pPr>
          </w:p>
        </w:tc>
        <w:tc>
          <w:tcPr>
            <w:tcW w:w="1193" w:type="dxa"/>
            <w:noWrap w:val="0"/>
            <w:vAlign w:val="center"/>
          </w:tcPr>
          <w:p w14:paraId="69CAC9F5">
            <w:pPr>
              <w:snapToGrid w:val="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氟化物</w:t>
            </w:r>
          </w:p>
        </w:tc>
        <w:tc>
          <w:tcPr>
            <w:tcW w:w="2944" w:type="dxa"/>
            <w:noWrap w:val="0"/>
            <w:vAlign w:val="center"/>
          </w:tcPr>
          <w:p w14:paraId="3272CC50">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《水质 氟化物的测定 离子选择电极法》GB/T 7484-1987</w:t>
            </w:r>
          </w:p>
        </w:tc>
        <w:tc>
          <w:tcPr>
            <w:tcW w:w="2745" w:type="dxa"/>
            <w:noWrap w:val="0"/>
            <w:vAlign w:val="center"/>
          </w:tcPr>
          <w:p w14:paraId="09DF945E">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PXSJ-216F离子计（YFJC-YQ-070）</w:t>
            </w:r>
          </w:p>
        </w:tc>
        <w:tc>
          <w:tcPr>
            <w:tcW w:w="1170" w:type="dxa"/>
            <w:noWrap w:val="0"/>
            <w:vAlign w:val="center"/>
          </w:tcPr>
          <w:p w14:paraId="67F7516F">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0.05</w:t>
            </w:r>
          </w:p>
        </w:tc>
      </w:tr>
      <w:tr w14:paraId="39291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539" w:type="dxa"/>
            <w:vMerge w:val="continue"/>
            <w:noWrap w:val="0"/>
            <w:vAlign w:val="center"/>
          </w:tcPr>
          <w:p w14:paraId="19AFC5A4">
            <w:pPr>
              <w:snapToGrid w:val="0"/>
              <w:jc w:val="center"/>
              <w:rPr>
                <w:rFonts w:hint="default" w:ascii="Times New Roman" w:hAnsi="Times New Roman" w:eastAsia="宋体" w:cs="Times New Roman"/>
                <w:color w:val="auto"/>
                <w:kern w:val="0"/>
                <w:szCs w:val="21"/>
                <w:highlight w:val="none"/>
                <w:lang w:val="en-US" w:eastAsia="zh-CN"/>
              </w:rPr>
            </w:pPr>
          </w:p>
        </w:tc>
        <w:tc>
          <w:tcPr>
            <w:tcW w:w="1193" w:type="dxa"/>
            <w:noWrap w:val="0"/>
            <w:vAlign w:val="center"/>
          </w:tcPr>
          <w:p w14:paraId="2610BC0C">
            <w:pPr>
              <w:snapToGrid w:val="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阴离子表面活性剂</w:t>
            </w:r>
          </w:p>
        </w:tc>
        <w:tc>
          <w:tcPr>
            <w:tcW w:w="2944" w:type="dxa"/>
            <w:noWrap w:val="0"/>
            <w:vAlign w:val="center"/>
          </w:tcPr>
          <w:p w14:paraId="767E854A">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《水质 阴离子表面活性剂的测定 亚甲蓝分光光度法》GB/T7494-1987</w:t>
            </w:r>
          </w:p>
        </w:tc>
        <w:tc>
          <w:tcPr>
            <w:tcW w:w="2745" w:type="dxa"/>
            <w:noWrap w:val="0"/>
            <w:vAlign w:val="center"/>
          </w:tcPr>
          <w:p w14:paraId="6460B80D">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722N可见分光光度计    （YFJC-YQ-026）</w:t>
            </w:r>
          </w:p>
        </w:tc>
        <w:tc>
          <w:tcPr>
            <w:tcW w:w="1170" w:type="dxa"/>
            <w:noWrap w:val="0"/>
            <w:vAlign w:val="center"/>
          </w:tcPr>
          <w:p w14:paraId="247CD234">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0.05</w:t>
            </w:r>
          </w:p>
        </w:tc>
      </w:tr>
      <w:tr w14:paraId="7629F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trPr>
        <w:tc>
          <w:tcPr>
            <w:tcW w:w="539" w:type="dxa"/>
            <w:vMerge w:val="continue"/>
            <w:noWrap w:val="0"/>
            <w:vAlign w:val="center"/>
          </w:tcPr>
          <w:p w14:paraId="5249ED9D">
            <w:pPr>
              <w:snapToGrid w:val="0"/>
              <w:jc w:val="center"/>
              <w:rPr>
                <w:rFonts w:hint="default" w:ascii="Times New Roman" w:hAnsi="Times New Roman" w:eastAsia="宋体" w:cs="Times New Roman"/>
                <w:color w:val="auto"/>
                <w:kern w:val="0"/>
                <w:sz w:val="21"/>
                <w:szCs w:val="21"/>
                <w:highlight w:val="none"/>
                <w:lang w:val="en-US" w:eastAsia="zh-CN" w:bidi="ar-SA"/>
              </w:rPr>
            </w:pPr>
          </w:p>
        </w:tc>
        <w:tc>
          <w:tcPr>
            <w:tcW w:w="1193" w:type="dxa"/>
            <w:noWrap w:val="0"/>
            <w:vAlign w:val="center"/>
          </w:tcPr>
          <w:p w14:paraId="0036286A">
            <w:pPr>
              <w:snapToGrid w:val="0"/>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硫酸盐</w:t>
            </w:r>
          </w:p>
        </w:tc>
        <w:tc>
          <w:tcPr>
            <w:tcW w:w="2944" w:type="dxa"/>
            <w:noWrap w:val="0"/>
            <w:vAlign w:val="center"/>
          </w:tcPr>
          <w:p w14:paraId="39770669">
            <w:pPr>
              <w:adjustRightInd w:val="0"/>
              <w:snapToGrid w:val="0"/>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kern w:val="0"/>
                <w:szCs w:val="21"/>
                <w:highlight w:val="none"/>
                <w:lang w:val="en-US" w:eastAsia="zh-CN"/>
              </w:rPr>
              <w:t>水质 无机阴离子（F</w:t>
            </w:r>
            <w:r>
              <w:rPr>
                <w:rFonts w:hint="eastAsia" w:ascii="Times New Roman" w:hAnsi="Times New Roman" w:eastAsia="宋体" w:cs="Times New Roman"/>
                <w:kern w:val="0"/>
                <w:szCs w:val="21"/>
                <w:highlight w:val="none"/>
                <w:vertAlign w:val="superscript"/>
                <w:lang w:val="en-US" w:eastAsia="zh-CN"/>
              </w:rPr>
              <w:t>-</w:t>
            </w:r>
            <w:r>
              <w:rPr>
                <w:rFonts w:hint="eastAsia" w:ascii="Times New Roman" w:hAnsi="Times New Roman" w:eastAsia="宋体" w:cs="Times New Roman"/>
                <w:kern w:val="0"/>
                <w:szCs w:val="21"/>
                <w:highlight w:val="none"/>
                <w:lang w:val="en-US" w:eastAsia="zh-CN"/>
              </w:rPr>
              <w:t>、Cl</w:t>
            </w:r>
            <w:r>
              <w:rPr>
                <w:rFonts w:hint="eastAsia" w:ascii="Times New Roman" w:hAnsi="Times New Roman" w:eastAsia="宋体" w:cs="Times New Roman"/>
                <w:kern w:val="0"/>
                <w:szCs w:val="21"/>
                <w:highlight w:val="none"/>
                <w:vertAlign w:val="superscript"/>
                <w:lang w:val="en-US" w:eastAsia="zh-CN"/>
              </w:rPr>
              <w:t>-</w:t>
            </w:r>
            <w:r>
              <w:rPr>
                <w:rFonts w:hint="eastAsia" w:ascii="Times New Roman" w:hAnsi="Times New Roman" w:eastAsia="宋体" w:cs="Times New Roman"/>
                <w:kern w:val="0"/>
                <w:szCs w:val="21"/>
                <w:highlight w:val="none"/>
                <w:lang w:val="en-US" w:eastAsia="zh-CN"/>
              </w:rPr>
              <w:t>、NO</w:t>
            </w:r>
            <w:r>
              <w:rPr>
                <w:rFonts w:hint="eastAsia" w:ascii="Times New Roman" w:hAnsi="Times New Roman" w:eastAsia="宋体" w:cs="Times New Roman"/>
                <w:kern w:val="0"/>
                <w:szCs w:val="21"/>
                <w:highlight w:val="none"/>
                <w:vertAlign w:val="subscript"/>
                <w:lang w:val="en-US" w:eastAsia="zh-CN"/>
              </w:rPr>
              <w:t>2</w:t>
            </w:r>
            <w:r>
              <w:rPr>
                <w:rFonts w:hint="eastAsia" w:ascii="Times New Roman" w:hAnsi="Times New Roman" w:eastAsia="宋体" w:cs="Times New Roman"/>
                <w:kern w:val="0"/>
                <w:szCs w:val="21"/>
                <w:highlight w:val="none"/>
                <w:vertAlign w:val="superscript"/>
                <w:lang w:val="en-US" w:eastAsia="zh-CN"/>
              </w:rPr>
              <w:t>-</w:t>
            </w:r>
            <w:r>
              <w:rPr>
                <w:rFonts w:hint="eastAsia" w:ascii="Times New Roman" w:hAnsi="Times New Roman" w:eastAsia="宋体" w:cs="Times New Roman"/>
                <w:kern w:val="0"/>
                <w:szCs w:val="21"/>
                <w:highlight w:val="none"/>
                <w:lang w:val="en-US" w:eastAsia="zh-CN"/>
              </w:rPr>
              <w:t>、Br</w:t>
            </w:r>
            <w:r>
              <w:rPr>
                <w:rFonts w:hint="eastAsia" w:ascii="Times New Roman" w:hAnsi="Times New Roman" w:eastAsia="宋体" w:cs="Times New Roman"/>
                <w:kern w:val="0"/>
                <w:szCs w:val="21"/>
                <w:highlight w:val="none"/>
                <w:vertAlign w:val="superscript"/>
                <w:lang w:val="en-US" w:eastAsia="zh-CN"/>
              </w:rPr>
              <w:t>-</w:t>
            </w:r>
            <w:r>
              <w:rPr>
                <w:rFonts w:hint="eastAsia" w:ascii="Times New Roman" w:hAnsi="Times New Roman" w:eastAsia="宋体" w:cs="Times New Roman"/>
                <w:kern w:val="0"/>
                <w:szCs w:val="21"/>
                <w:highlight w:val="none"/>
                <w:lang w:val="en-US" w:eastAsia="zh-CN"/>
              </w:rPr>
              <w:t>、NO</w:t>
            </w:r>
            <w:r>
              <w:rPr>
                <w:rFonts w:hint="eastAsia" w:ascii="Times New Roman" w:hAnsi="Times New Roman" w:eastAsia="宋体" w:cs="Times New Roman"/>
                <w:kern w:val="0"/>
                <w:szCs w:val="21"/>
                <w:highlight w:val="none"/>
                <w:vertAlign w:val="subscript"/>
                <w:lang w:val="en-US" w:eastAsia="zh-CN"/>
              </w:rPr>
              <w:t>3</w:t>
            </w:r>
            <w:r>
              <w:rPr>
                <w:rFonts w:hint="eastAsia" w:ascii="Times New Roman" w:hAnsi="Times New Roman" w:eastAsia="宋体" w:cs="Times New Roman"/>
                <w:kern w:val="0"/>
                <w:szCs w:val="21"/>
                <w:highlight w:val="none"/>
                <w:vertAlign w:val="superscript"/>
                <w:lang w:val="en-US" w:eastAsia="zh-CN"/>
              </w:rPr>
              <w:t>-</w:t>
            </w:r>
            <w:r>
              <w:rPr>
                <w:rFonts w:hint="eastAsia" w:ascii="Times New Roman" w:hAnsi="Times New Roman" w:eastAsia="宋体" w:cs="Times New Roman"/>
                <w:kern w:val="0"/>
                <w:szCs w:val="21"/>
                <w:highlight w:val="none"/>
                <w:lang w:val="en-US" w:eastAsia="zh-CN"/>
              </w:rPr>
              <w:t>、PO</w:t>
            </w:r>
            <w:r>
              <w:rPr>
                <w:rFonts w:hint="eastAsia" w:ascii="Times New Roman" w:hAnsi="Times New Roman" w:eastAsia="宋体" w:cs="Times New Roman"/>
                <w:kern w:val="0"/>
                <w:szCs w:val="21"/>
                <w:highlight w:val="none"/>
                <w:vertAlign w:val="subscript"/>
                <w:lang w:val="en-US" w:eastAsia="zh-CN"/>
              </w:rPr>
              <w:t>4</w:t>
            </w:r>
            <w:r>
              <w:rPr>
                <w:rFonts w:hint="eastAsia" w:ascii="Times New Roman" w:hAnsi="Times New Roman" w:eastAsia="宋体" w:cs="Times New Roman"/>
                <w:kern w:val="0"/>
                <w:szCs w:val="21"/>
                <w:highlight w:val="none"/>
                <w:vertAlign w:val="superscript"/>
                <w:lang w:val="en-US" w:eastAsia="zh-CN"/>
              </w:rPr>
              <w:t>3-</w:t>
            </w:r>
            <w:r>
              <w:rPr>
                <w:rFonts w:hint="eastAsia" w:ascii="Times New Roman" w:hAnsi="Times New Roman" w:eastAsia="宋体" w:cs="Times New Roman"/>
                <w:kern w:val="0"/>
                <w:szCs w:val="21"/>
                <w:highlight w:val="none"/>
                <w:lang w:val="en-US" w:eastAsia="zh-CN"/>
              </w:rPr>
              <w:t>、SO</w:t>
            </w:r>
            <w:r>
              <w:rPr>
                <w:rFonts w:hint="eastAsia" w:ascii="Times New Roman" w:hAnsi="Times New Roman" w:eastAsia="宋体" w:cs="Times New Roman"/>
                <w:kern w:val="0"/>
                <w:szCs w:val="21"/>
                <w:highlight w:val="none"/>
                <w:vertAlign w:val="subscript"/>
                <w:lang w:val="en-US" w:eastAsia="zh-CN"/>
              </w:rPr>
              <w:t>3</w:t>
            </w:r>
            <w:r>
              <w:rPr>
                <w:rFonts w:hint="eastAsia" w:ascii="Times New Roman" w:hAnsi="Times New Roman" w:eastAsia="宋体" w:cs="Times New Roman"/>
                <w:kern w:val="0"/>
                <w:szCs w:val="21"/>
                <w:highlight w:val="none"/>
                <w:vertAlign w:val="superscript"/>
                <w:lang w:val="en-US" w:eastAsia="zh-CN"/>
              </w:rPr>
              <w:t>2-</w:t>
            </w:r>
            <w:r>
              <w:rPr>
                <w:rFonts w:hint="eastAsia" w:ascii="Times New Roman" w:hAnsi="Times New Roman" w:eastAsia="宋体" w:cs="Times New Roman"/>
                <w:kern w:val="0"/>
                <w:szCs w:val="21"/>
                <w:highlight w:val="none"/>
                <w:lang w:val="en-US" w:eastAsia="zh-CN"/>
              </w:rPr>
              <w:t>、SO</w:t>
            </w:r>
            <w:r>
              <w:rPr>
                <w:rFonts w:hint="eastAsia" w:ascii="Times New Roman" w:hAnsi="Times New Roman" w:eastAsia="宋体" w:cs="Times New Roman"/>
                <w:kern w:val="0"/>
                <w:szCs w:val="21"/>
                <w:highlight w:val="none"/>
                <w:vertAlign w:val="subscript"/>
                <w:lang w:val="en-US" w:eastAsia="zh-CN"/>
              </w:rPr>
              <w:t>4</w:t>
            </w:r>
            <w:r>
              <w:rPr>
                <w:rFonts w:hint="eastAsia" w:ascii="Times New Roman" w:hAnsi="Times New Roman" w:eastAsia="宋体" w:cs="Times New Roman"/>
                <w:kern w:val="0"/>
                <w:szCs w:val="21"/>
                <w:highlight w:val="none"/>
                <w:vertAlign w:val="superscript"/>
                <w:lang w:val="en-US" w:eastAsia="zh-CN"/>
              </w:rPr>
              <w:t>2-</w:t>
            </w:r>
            <w:r>
              <w:rPr>
                <w:rFonts w:hint="eastAsia" w:ascii="Times New Roman" w:hAnsi="Times New Roman" w:eastAsia="宋体" w:cs="Times New Roman"/>
                <w:kern w:val="0"/>
                <w:szCs w:val="21"/>
                <w:highlight w:val="none"/>
                <w:lang w:val="en-US" w:eastAsia="zh-CN"/>
              </w:rPr>
              <w:t>）的测定 离子色谱法》HJ 84-2016</w:t>
            </w:r>
          </w:p>
        </w:tc>
        <w:tc>
          <w:tcPr>
            <w:tcW w:w="2745" w:type="dxa"/>
            <w:noWrap w:val="0"/>
            <w:vAlign w:val="center"/>
          </w:tcPr>
          <w:p w14:paraId="49F86966">
            <w:pPr>
              <w:adjustRightInd w:val="0"/>
              <w:snapToGrid w:val="0"/>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Cs w:val="21"/>
                <w:highlight w:val="none"/>
                <w:lang w:val="en-US" w:eastAsia="zh-CN"/>
              </w:rPr>
              <w:t>PIC-10A/PIC-10型离子色谱仪（YFJC-YQ-049）</w:t>
            </w:r>
          </w:p>
        </w:tc>
        <w:tc>
          <w:tcPr>
            <w:tcW w:w="1170" w:type="dxa"/>
            <w:noWrap w:val="0"/>
            <w:vAlign w:val="center"/>
          </w:tcPr>
          <w:p w14:paraId="387FC428">
            <w:pPr>
              <w:adjustRightInd w:val="0"/>
              <w:snapToGrid w:val="0"/>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0.018</w:t>
            </w:r>
          </w:p>
        </w:tc>
      </w:tr>
    </w:tbl>
    <w:p w14:paraId="656C98A7">
      <w:pPr>
        <w:keepNext w:val="0"/>
        <w:keepLines w:val="0"/>
        <w:pageBreakBefore w:val="0"/>
        <w:widowControl w:val="0"/>
        <w:numPr>
          <w:ilvl w:val="0"/>
          <w:numId w:val="6"/>
        </w:numPr>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废气</w:t>
      </w:r>
      <w:r>
        <w:rPr>
          <w:rFonts w:hint="eastAsia" w:ascii="Times New Roman" w:hAnsi="Times New Roman" w:eastAsia="宋体" w:cs="Times New Roman"/>
          <w:color w:val="auto"/>
          <w:sz w:val="24"/>
          <w:szCs w:val="24"/>
          <w:highlight w:val="none"/>
          <w:lang w:val="en-US" w:eastAsia="zh-CN"/>
        </w:rPr>
        <w:t>检测</w:t>
      </w:r>
    </w:p>
    <w:p w14:paraId="36918B7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color w:val="auto"/>
          <w:sz w:val="24"/>
          <w:szCs w:val="24"/>
          <w:highlight w:val="none"/>
        </w:rPr>
        <w:t>废气</w:t>
      </w:r>
      <w:r>
        <w:rPr>
          <w:rFonts w:hint="eastAsia" w:ascii="Times New Roman" w:hAnsi="Times New Roman" w:eastAsia="宋体" w:cs="Times New Roman"/>
          <w:color w:val="auto"/>
          <w:sz w:val="24"/>
          <w:szCs w:val="24"/>
          <w:highlight w:val="none"/>
          <w:lang w:val="en-US" w:eastAsia="zh-CN"/>
        </w:rPr>
        <w:t>检测</w:t>
      </w:r>
      <w:r>
        <w:rPr>
          <w:rFonts w:hint="default" w:ascii="Times New Roman" w:hAnsi="Times New Roman" w:eastAsia="宋体" w:cs="Times New Roman"/>
          <w:color w:val="auto"/>
          <w:sz w:val="24"/>
          <w:szCs w:val="24"/>
          <w:highlight w:val="none"/>
        </w:rPr>
        <w:t>具体分析方法见表8-</w:t>
      </w:r>
      <w:r>
        <w:rPr>
          <w:rFonts w:hint="eastAsia"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w:t>
      </w:r>
    </w:p>
    <w:p w14:paraId="5728624C">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default" w:ascii="Times New Roman" w:hAnsi="Times New Roman" w:eastAsia="宋体" w:cs="Times New Roman"/>
          <w:b/>
          <w:bCs w:val="0"/>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bCs w:val="0"/>
          <w:color w:val="000000" w:themeColor="text1"/>
          <w:sz w:val="24"/>
          <w:szCs w:val="24"/>
          <w:highlight w:val="none"/>
          <w14:textFill>
            <w14:solidFill>
              <w14:schemeClr w14:val="tx1"/>
            </w14:solidFill>
          </w14:textFill>
        </w:rPr>
        <w:t>表8-</w:t>
      </w:r>
      <w:r>
        <w:rPr>
          <w:rFonts w:hint="eastAsia" w:ascii="Times New Roman" w:hAnsi="Times New Roman" w:eastAsia="宋体" w:cs="Times New Roman"/>
          <w:b/>
          <w:bCs w:val="0"/>
          <w:color w:val="000000" w:themeColor="text1"/>
          <w:sz w:val="24"/>
          <w:szCs w:val="24"/>
          <w:highlight w:val="none"/>
          <w:lang w:val="en-US" w:eastAsia="zh-CN"/>
          <w14:textFill>
            <w14:solidFill>
              <w14:schemeClr w14:val="tx1"/>
            </w14:solidFill>
          </w14:textFill>
        </w:rPr>
        <w:t xml:space="preserve">2  </w:t>
      </w:r>
      <w:r>
        <w:rPr>
          <w:rFonts w:hint="default" w:ascii="Times New Roman" w:hAnsi="Times New Roman" w:eastAsia="宋体" w:cs="Times New Roman"/>
          <w:b/>
          <w:bCs w:val="0"/>
          <w:color w:val="000000" w:themeColor="text1"/>
          <w:sz w:val="24"/>
          <w:szCs w:val="24"/>
          <w:highlight w:val="none"/>
          <w14:textFill>
            <w14:solidFill>
              <w14:schemeClr w14:val="tx1"/>
            </w14:solidFill>
          </w14:textFill>
        </w:rPr>
        <w:t>废气污染物检测项目分析方法及所用仪器</w:t>
      </w:r>
      <w:r>
        <w:rPr>
          <w:rFonts w:hint="eastAsia" w:ascii="Times New Roman" w:hAnsi="Times New Roman" w:eastAsia="宋体" w:cs="Times New Roman"/>
          <w:b/>
          <w:bCs w:val="0"/>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宋体" w:cs="Times New Roman"/>
          <w:color w:val="auto"/>
          <w:highlight w:val="none"/>
        </w:rPr>
        <w:t>单位：mg/m</w:t>
      </w:r>
      <w:r>
        <w:rPr>
          <w:rFonts w:hint="default" w:ascii="Times New Roman" w:hAnsi="Times New Roman" w:eastAsia="宋体" w:cs="Times New Roman"/>
          <w:color w:val="auto"/>
          <w:highlight w:val="none"/>
          <w:vertAlign w:val="superscript"/>
        </w:rPr>
        <w:t>3</w:t>
      </w:r>
      <w:r>
        <w:rPr>
          <w:rFonts w:hint="default" w:ascii="Times New Roman" w:hAnsi="Times New Roman" w:eastAsia="宋体" w:cs="Times New Roman"/>
          <w:color w:val="auto"/>
          <w:highlight w:val="none"/>
        </w:rPr>
        <w:t>（特殊注明除外）</w:t>
      </w:r>
    </w:p>
    <w:tbl>
      <w:tblPr>
        <w:tblStyle w:val="32"/>
        <w:tblW w:w="50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1005"/>
        <w:gridCol w:w="2909"/>
        <w:gridCol w:w="2754"/>
        <w:gridCol w:w="1177"/>
      </w:tblGrid>
      <w:tr w14:paraId="5FF33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38" w:type="pct"/>
            <w:tcBorders>
              <w:top w:val="single" w:color="auto" w:sz="4" w:space="0"/>
              <w:left w:val="single" w:color="auto" w:sz="4" w:space="0"/>
              <w:bottom w:val="single" w:color="auto" w:sz="4" w:space="0"/>
              <w:right w:val="single" w:color="auto" w:sz="4" w:space="0"/>
            </w:tcBorders>
            <w:vAlign w:val="center"/>
          </w:tcPr>
          <w:p w14:paraId="3F796061">
            <w:pPr>
              <w:jc w:val="center"/>
              <w:rPr>
                <w:rFonts w:hint="default" w:ascii="Times New Roman" w:hAnsi="Times New Roman" w:eastAsia="宋体" w:cs="Times New Roman"/>
                <w:color w:val="auto"/>
                <w:sz w:val="21"/>
                <w:szCs w:val="21"/>
                <w:highlight w:val="none"/>
                <w:lang w:eastAsia="zh-CN"/>
              </w:rPr>
            </w:pPr>
            <w:bookmarkStart w:id="33" w:name="_Toc23835"/>
            <w:r>
              <w:rPr>
                <w:rFonts w:hint="default" w:ascii="Times New Roman" w:hAnsi="Times New Roman" w:eastAsia="宋体" w:cs="Times New Roman"/>
                <w:b w:val="0"/>
                <w:bCs w:val="0"/>
                <w:color w:val="auto"/>
                <w:kern w:val="44"/>
                <w:sz w:val="21"/>
                <w:szCs w:val="21"/>
                <w:highlight w:val="none"/>
                <w:vertAlign w:val="baseline"/>
                <w:lang w:val="en-US" w:eastAsia="zh-CN" w:bidi="ar-SA"/>
              </w:rPr>
              <w:t>检测类别</w:t>
            </w:r>
          </w:p>
        </w:tc>
        <w:tc>
          <w:tcPr>
            <w:tcW w:w="584" w:type="pct"/>
            <w:tcBorders>
              <w:top w:val="single" w:color="auto" w:sz="4" w:space="0"/>
              <w:left w:val="nil"/>
              <w:bottom w:val="single" w:color="auto" w:sz="4" w:space="0"/>
              <w:right w:val="single" w:color="auto" w:sz="4" w:space="0"/>
            </w:tcBorders>
            <w:vAlign w:val="center"/>
          </w:tcPr>
          <w:p w14:paraId="2464E646">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 w:val="0"/>
                <w:bCs w:val="0"/>
                <w:color w:val="auto"/>
                <w:kern w:val="44"/>
                <w:sz w:val="21"/>
                <w:szCs w:val="21"/>
                <w:highlight w:val="none"/>
                <w:vertAlign w:val="baseline"/>
                <w:lang w:val="en-US" w:eastAsia="zh-CN" w:bidi="ar-SA"/>
              </w:rPr>
              <w:t>检测项目</w:t>
            </w:r>
          </w:p>
        </w:tc>
        <w:tc>
          <w:tcPr>
            <w:tcW w:w="1691" w:type="pct"/>
            <w:tcBorders>
              <w:top w:val="single" w:color="auto" w:sz="4" w:space="0"/>
              <w:left w:val="nil"/>
              <w:bottom w:val="single" w:color="auto" w:sz="4" w:space="0"/>
              <w:right w:val="single" w:color="auto" w:sz="4" w:space="0"/>
            </w:tcBorders>
            <w:vAlign w:val="center"/>
          </w:tcPr>
          <w:p w14:paraId="183873CF">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 w:val="0"/>
                <w:bCs w:val="0"/>
                <w:color w:val="auto"/>
                <w:kern w:val="44"/>
                <w:sz w:val="21"/>
                <w:szCs w:val="21"/>
                <w:highlight w:val="none"/>
                <w:vertAlign w:val="baseline"/>
                <w:lang w:val="en-US" w:eastAsia="zh-CN" w:bidi="ar-SA"/>
              </w:rPr>
              <w:t>分析方法名称及标准号</w:t>
            </w:r>
          </w:p>
        </w:tc>
        <w:tc>
          <w:tcPr>
            <w:tcW w:w="1601" w:type="pct"/>
            <w:tcBorders>
              <w:top w:val="single" w:color="auto" w:sz="4" w:space="0"/>
              <w:left w:val="nil"/>
              <w:bottom w:val="single" w:color="auto" w:sz="4" w:space="0"/>
              <w:right w:val="single" w:color="auto" w:sz="4" w:space="0"/>
            </w:tcBorders>
            <w:vAlign w:val="center"/>
          </w:tcPr>
          <w:p w14:paraId="3ABC46C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val="0"/>
                <w:color w:val="auto"/>
                <w:kern w:val="44"/>
                <w:sz w:val="21"/>
                <w:szCs w:val="21"/>
                <w:highlight w:val="none"/>
                <w:vertAlign w:val="baseline"/>
                <w:lang w:val="en-US" w:eastAsia="zh-CN" w:bidi="ar-SA"/>
              </w:rPr>
              <w:t>仪器名称型号及编号</w:t>
            </w:r>
          </w:p>
        </w:tc>
        <w:tc>
          <w:tcPr>
            <w:tcW w:w="684" w:type="pct"/>
            <w:tcBorders>
              <w:top w:val="single" w:color="auto" w:sz="4" w:space="0"/>
              <w:left w:val="nil"/>
              <w:bottom w:val="single" w:color="auto" w:sz="4" w:space="0"/>
              <w:right w:val="single" w:color="auto" w:sz="4" w:space="0"/>
            </w:tcBorders>
            <w:vAlign w:val="center"/>
          </w:tcPr>
          <w:p w14:paraId="24F516E0">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val="0"/>
                <w:color w:val="auto"/>
                <w:kern w:val="44"/>
                <w:sz w:val="21"/>
                <w:szCs w:val="21"/>
                <w:highlight w:val="none"/>
                <w:vertAlign w:val="baseline"/>
                <w:lang w:val="en-US" w:eastAsia="zh-CN" w:bidi="ar-SA"/>
              </w:rPr>
              <w:t>检出限</w:t>
            </w:r>
          </w:p>
        </w:tc>
      </w:tr>
      <w:tr w14:paraId="4F454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38" w:type="pct"/>
            <w:vMerge w:val="restart"/>
            <w:tcBorders>
              <w:left w:val="single" w:color="auto" w:sz="4" w:space="0"/>
              <w:right w:val="single" w:color="auto" w:sz="4" w:space="0"/>
            </w:tcBorders>
            <w:vAlign w:val="center"/>
          </w:tcPr>
          <w:p w14:paraId="29C6516C">
            <w:pPr>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val="0"/>
                <w:color w:val="auto"/>
                <w:kern w:val="44"/>
                <w:sz w:val="21"/>
                <w:szCs w:val="21"/>
                <w:highlight w:val="none"/>
                <w:vertAlign w:val="baseline"/>
                <w:lang w:val="en-US" w:eastAsia="zh-CN" w:bidi="ar-SA"/>
              </w:rPr>
              <w:t>有组织废气</w:t>
            </w:r>
          </w:p>
        </w:tc>
        <w:tc>
          <w:tcPr>
            <w:tcW w:w="584" w:type="pct"/>
            <w:tcBorders>
              <w:top w:val="single" w:color="auto" w:sz="4" w:space="0"/>
              <w:left w:val="nil"/>
              <w:bottom w:val="single" w:color="auto" w:sz="4" w:space="0"/>
              <w:right w:val="single" w:color="auto" w:sz="4" w:space="0"/>
            </w:tcBorders>
            <w:shd w:val="clear" w:color="auto" w:fill="auto"/>
            <w:vAlign w:val="center"/>
          </w:tcPr>
          <w:p w14:paraId="0C2044C4">
            <w:pPr>
              <w:adjustRightInd w:val="0"/>
              <w:snapToGrid w:val="0"/>
              <w:jc w:val="center"/>
              <w:rPr>
                <w:rFonts w:hint="default" w:ascii="Times New Roman" w:hAnsi="Times New Roman" w:eastAsia="宋体" w:cs="Times New Roman"/>
                <w:color w:val="auto"/>
                <w:spacing w:val="0"/>
                <w:kern w:val="2"/>
                <w:sz w:val="21"/>
                <w:szCs w:val="21"/>
                <w:highlight w:val="none"/>
                <w:lang w:val="en-US" w:eastAsia="zh-CN" w:bidi="ar-SA"/>
              </w:rPr>
            </w:pPr>
            <w:r>
              <w:rPr>
                <w:rFonts w:hint="eastAsia" w:ascii="Times New Roman" w:hAnsi="Times New Roman" w:eastAsia="宋体" w:cs="Times New Roman"/>
                <w:color w:val="auto"/>
                <w:kern w:val="0"/>
                <w:szCs w:val="21"/>
                <w:highlight w:val="none"/>
                <w:lang w:val="en-US" w:eastAsia="zh-CN"/>
              </w:rPr>
              <w:t>颗粒物</w:t>
            </w:r>
          </w:p>
        </w:tc>
        <w:tc>
          <w:tcPr>
            <w:tcW w:w="1691" w:type="pct"/>
            <w:tcBorders>
              <w:top w:val="single" w:color="auto" w:sz="4" w:space="0"/>
              <w:left w:val="nil"/>
              <w:bottom w:val="single" w:color="auto" w:sz="4" w:space="0"/>
              <w:right w:val="single" w:color="auto" w:sz="4" w:space="0"/>
            </w:tcBorders>
            <w:shd w:val="clear" w:color="auto" w:fill="auto"/>
            <w:vAlign w:val="center"/>
          </w:tcPr>
          <w:p w14:paraId="0714D858">
            <w:pPr>
              <w:adjustRightInd w:val="0"/>
              <w:snapToGrid w:val="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《固定污染源废气 低浓度颗粒物的测定 重量法》</w:t>
            </w:r>
          </w:p>
          <w:p w14:paraId="3D807701">
            <w:pPr>
              <w:adjustRightInd w:val="0"/>
              <w:snapToGrid w:val="0"/>
              <w:jc w:val="center"/>
              <w:rPr>
                <w:rFonts w:hint="default" w:ascii="Times New Roman" w:hAnsi="Times New Roman" w:eastAsia="宋体" w:cs="Times New Roman"/>
                <w:color w:val="auto"/>
                <w:spacing w:val="0"/>
                <w:kern w:val="2"/>
                <w:sz w:val="21"/>
                <w:szCs w:val="21"/>
                <w:highlight w:val="none"/>
                <w:lang w:val="en-US" w:eastAsia="zh-CN" w:bidi="ar-SA"/>
              </w:rPr>
            </w:pPr>
            <w:r>
              <w:rPr>
                <w:rFonts w:hint="eastAsia" w:ascii="Times New Roman" w:hAnsi="Times New Roman" w:eastAsia="宋体" w:cs="Times New Roman"/>
                <w:color w:val="auto"/>
                <w:kern w:val="0"/>
                <w:szCs w:val="21"/>
                <w:highlight w:val="none"/>
                <w:lang w:val="en-US" w:eastAsia="zh-CN"/>
              </w:rPr>
              <w:t>HJ 836-2017</w:t>
            </w:r>
          </w:p>
        </w:tc>
        <w:tc>
          <w:tcPr>
            <w:tcW w:w="1601" w:type="pct"/>
            <w:tcBorders>
              <w:top w:val="single" w:color="auto" w:sz="4" w:space="0"/>
              <w:left w:val="nil"/>
              <w:bottom w:val="single" w:color="auto" w:sz="4" w:space="0"/>
              <w:right w:val="single" w:color="auto" w:sz="4" w:space="0"/>
            </w:tcBorders>
            <w:shd w:val="clear" w:color="auto" w:fill="auto"/>
            <w:vAlign w:val="center"/>
          </w:tcPr>
          <w:p w14:paraId="7E1E621B">
            <w:pPr>
              <w:adjustRightInd w:val="0"/>
              <w:snapToGrid w:val="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崂应3012H型自动烟尘（气）测试仪（YFJC-YQ-002）</w:t>
            </w:r>
          </w:p>
          <w:p w14:paraId="02E4083A">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空白采样管</w:t>
            </w:r>
          </w:p>
          <w:p w14:paraId="69CBD5CC">
            <w:pPr>
              <w:adjustRightInd w:val="0"/>
              <w:snapToGrid w:val="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H06恒温恒湿室（YFJC-YQ-055）</w:t>
            </w:r>
          </w:p>
          <w:p w14:paraId="3BF2DC75">
            <w:pPr>
              <w:adjustRightInd w:val="0"/>
              <w:snapToGrid w:val="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AUW120D</w:t>
            </w:r>
          </w:p>
          <w:p w14:paraId="792E8975">
            <w:pPr>
              <w:adjustRightInd w:val="0"/>
              <w:snapToGrid w:val="0"/>
              <w:jc w:val="center"/>
              <w:rPr>
                <w:rFonts w:hint="default" w:ascii="Times New Roman" w:hAnsi="Times New Roman" w:eastAsia="宋体" w:cs="Times New Roman"/>
                <w:color w:val="auto"/>
                <w:spacing w:val="0"/>
                <w:kern w:val="2"/>
                <w:sz w:val="21"/>
                <w:szCs w:val="21"/>
                <w:highlight w:val="none"/>
                <w:lang w:val="en-US" w:eastAsia="zh-CN" w:bidi="ar-SA"/>
              </w:rPr>
            </w:pPr>
            <w:r>
              <w:rPr>
                <w:rFonts w:hint="eastAsia" w:ascii="Times New Roman" w:hAnsi="Times New Roman" w:eastAsia="宋体" w:cs="Times New Roman"/>
                <w:color w:val="auto"/>
                <w:kern w:val="0"/>
                <w:szCs w:val="21"/>
                <w:highlight w:val="none"/>
                <w:lang w:val="en-US" w:eastAsia="zh-CN"/>
              </w:rPr>
              <w:t>分析天平（十万分之一）（YFJC-YQ-018）</w:t>
            </w:r>
          </w:p>
        </w:tc>
        <w:tc>
          <w:tcPr>
            <w:tcW w:w="1177" w:type="dxa"/>
            <w:tcBorders>
              <w:top w:val="single" w:color="auto" w:sz="4" w:space="0"/>
              <w:left w:val="nil"/>
              <w:bottom w:val="single" w:color="auto" w:sz="4" w:space="0"/>
              <w:right w:val="single" w:color="auto" w:sz="4" w:space="0"/>
            </w:tcBorders>
            <w:vAlign w:val="center"/>
          </w:tcPr>
          <w:p w14:paraId="2B753727">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kern w:val="0"/>
                <w:szCs w:val="21"/>
                <w:highlight w:val="none"/>
                <w:lang w:val="en-US" w:eastAsia="zh-CN"/>
              </w:rPr>
              <w:t>1.0</w:t>
            </w:r>
          </w:p>
        </w:tc>
      </w:tr>
      <w:tr w14:paraId="17FFD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38" w:type="pct"/>
            <w:vMerge w:val="continue"/>
            <w:tcBorders>
              <w:left w:val="single" w:color="auto" w:sz="4" w:space="0"/>
              <w:right w:val="single" w:color="auto" w:sz="4" w:space="0"/>
            </w:tcBorders>
            <w:vAlign w:val="center"/>
          </w:tcPr>
          <w:p w14:paraId="1E2917A9">
            <w:pPr>
              <w:jc w:val="center"/>
              <w:rPr>
                <w:rFonts w:hint="default" w:ascii="Times New Roman" w:hAnsi="Times New Roman" w:eastAsia="宋体" w:cs="Times New Roman"/>
                <w:color w:val="auto"/>
                <w:sz w:val="21"/>
                <w:szCs w:val="21"/>
                <w:highlight w:val="none"/>
                <w:lang w:val="en-US" w:eastAsia="zh-CN"/>
              </w:rPr>
            </w:pPr>
          </w:p>
        </w:tc>
        <w:tc>
          <w:tcPr>
            <w:tcW w:w="584" w:type="pct"/>
            <w:tcBorders>
              <w:top w:val="single" w:color="auto" w:sz="4" w:space="0"/>
              <w:left w:val="nil"/>
              <w:bottom w:val="single" w:color="auto" w:sz="4" w:space="0"/>
              <w:right w:val="single" w:color="auto" w:sz="4" w:space="0"/>
            </w:tcBorders>
            <w:shd w:val="clear" w:color="auto" w:fill="auto"/>
            <w:vAlign w:val="center"/>
          </w:tcPr>
          <w:p w14:paraId="2DF9AB02">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0"/>
                <w:szCs w:val="21"/>
                <w:highlight w:val="none"/>
                <w:lang w:val="en-US" w:eastAsia="zh-CN"/>
              </w:rPr>
              <w:t>硫酸雾</w:t>
            </w:r>
          </w:p>
        </w:tc>
        <w:tc>
          <w:tcPr>
            <w:tcW w:w="1691" w:type="pct"/>
            <w:tcBorders>
              <w:top w:val="single" w:color="auto" w:sz="4" w:space="0"/>
              <w:left w:val="nil"/>
              <w:bottom w:val="single" w:color="auto" w:sz="4" w:space="0"/>
              <w:right w:val="single" w:color="auto" w:sz="4" w:space="0"/>
            </w:tcBorders>
            <w:shd w:val="clear" w:color="auto" w:fill="auto"/>
            <w:vAlign w:val="center"/>
          </w:tcPr>
          <w:p w14:paraId="48602191">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0"/>
                <w:szCs w:val="21"/>
                <w:highlight w:val="none"/>
                <w:lang w:eastAsia="zh-CN"/>
              </w:rPr>
              <w:t>《固定污染源废气 硫酸雾的测定 离子色谱法》HJ 544-2016</w:t>
            </w:r>
          </w:p>
        </w:tc>
        <w:tc>
          <w:tcPr>
            <w:tcW w:w="1601" w:type="pct"/>
            <w:tcBorders>
              <w:top w:val="single" w:color="auto" w:sz="4" w:space="0"/>
              <w:left w:val="nil"/>
              <w:bottom w:val="single" w:color="auto" w:sz="4" w:space="0"/>
              <w:right w:val="single" w:color="auto" w:sz="4" w:space="0"/>
            </w:tcBorders>
            <w:shd w:val="clear" w:color="auto" w:fill="auto"/>
            <w:vAlign w:val="center"/>
          </w:tcPr>
          <w:p w14:paraId="38C1D52B">
            <w:pPr>
              <w:adjustRightInd w:val="0"/>
              <w:snapToGrid w:val="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崂应3012H型自动烟尘（气）测试仪（YFJC-YQ-002）</w:t>
            </w:r>
          </w:p>
          <w:p w14:paraId="0949C7DE">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0"/>
                <w:szCs w:val="21"/>
                <w:highlight w:val="none"/>
                <w:lang w:val="en-US" w:eastAsia="zh-CN"/>
              </w:rPr>
              <w:t>PIC-10A/PIC-10型离子色谱仪（YFJC-YQ-049）</w:t>
            </w:r>
          </w:p>
        </w:tc>
        <w:tc>
          <w:tcPr>
            <w:tcW w:w="1177" w:type="dxa"/>
            <w:tcBorders>
              <w:top w:val="single" w:color="auto" w:sz="4" w:space="0"/>
              <w:left w:val="nil"/>
              <w:bottom w:val="single" w:color="auto" w:sz="4" w:space="0"/>
              <w:right w:val="single" w:color="auto" w:sz="4" w:space="0"/>
            </w:tcBorders>
            <w:shd w:val="clear" w:color="auto" w:fill="auto"/>
            <w:vAlign w:val="center"/>
          </w:tcPr>
          <w:p w14:paraId="27276E5C">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0"/>
                <w:szCs w:val="21"/>
                <w:highlight w:val="none"/>
                <w:lang w:val="en-US" w:eastAsia="zh-CN"/>
              </w:rPr>
              <w:t>0.2</w:t>
            </w:r>
          </w:p>
        </w:tc>
      </w:tr>
      <w:tr w14:paraId="3F598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38" w:type="pct"/>
            <w:vMerge w:val="restart"/>
            <w:tcBorders>
              <w:left w:val="single" w:color="auto" w:sz="4" w:space="0"/>
              <w:right w:val="single" w:color="auto" w:sz="4" w:space="0"/>
            </w:tcBorders>
            <w:vAlign w:val="center"/>
          </w:tcPr>
          <w:p w14:paraId="3AC50C42">
            <w:pPr>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无组织</w:t>
            </w:r>
          </w:p>
        </w:tc>
        <w:tc>
          <w:tcPr>
            <w:tcW w:w="584" w:type="pct"/>
            <w:tcBorders>
              <w:top w:val="single" w:color="auto" w:sz="4" w:space="0"/>
              <w:left w:val="nil"/>
              <w:bottom w:val="single" w:color="auto" w:sz="4" w:space="0"/>
              <w:right w:val="single" w:color="auto" w:sz="4" w:space="0"/>
            </w:tcBorders>
            <w:shd w:val="clear" w:color="auto" w:fill="auto"/>
            <w:vAlign w:val="center"/>
          </w:tcPr>
          <w:p w14:paraId="15E6B901">
            <w:pPr>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i w:val="0"/>
                <w:iCs w:val="0"/>
                <w:color w:val="000000"/>
                <w:kern w:val="0"/>
                <w:sz w:val="21"/>
                <w:szCs w:val="21"/>
                <w:highlight w:val="none"/>
                <w:u w:val="none"/>
                <w:lang w:val="en-US" w:eastAsia="zh-CN" w:bidi="ar"/>
              </w:rPr>
              <w:t>总悬浮颗粒物</w:t>
            </w:r>
          </w:p>
        </w:tc>
        <w:tc>
          <w:tcPr>
            <w:tcW w:w="1691" w:type="pct"/>
            <w:tcBorders>
              <w:top w:val="single" w:color="auto" w:sz="4" w:space="0"/>
              <w:left w:val="nil"/>
              <w:bottom w:val="single" w:color="auto" w:sz="4" w:space="0"/>
              <w:right w:val="single" w:color="auto" w:sz="4" w:space="0"/>
            </w:tcBorders>
            <w:shd w:val="clear" w:color="auto" w:fill="auto"/>
            <w:vAlign w:val="center"/>
          </w:tcPr>
          <w:p w14:paraId="49EC5614">
            <w:pPr>
              <w:pStyle w:val="4"/>
              <w:keepNext/>
              <w:keepLines/>
              <w:pageBreakBefore w:val="0"/>
              <w:widowControl/>
              <w:kinsoku/>
              <w:wordWrap w:val="0"/>
              <w:overflowPunct/>
              <w:topLinePunct w:val="0"/>
              <w:autoSpaceDE/>
              <w:autoSpaceDN/>
              <w:bidi w:val="0"/>
              <w:adjustRightInd/>
              <w:snapToGrid/>
              <w:spacing w:before="0" w:after="0" w:line="300" w:lineRule="atLeast"/>
              <w:jc w:val="center"/>
              <w:textAlignment w:val="auto"/>
              <w:rPr>
                <w:rFonts w:hint="eastAsia" w:ascii="Times New Roman" w:hAnsi="Times New Roman" w:eastAsia="宋体" w:cs="Times New Roman"/>
                <w:b w:val="0"/>
                <w:smallCaps w:val="0"/>
                <w:strike w:val="0"/>
                <w:dstrike w:val="0"/>
                <w:color w:val="000000"/>
                <w:kern w:val="2"/>
                <w:sz w:val="21"/>
                <w:szCs w:val="21"/>
                <w:highlight w:val="none"/>
                <w:lang w:val="en-US" w:eastAsia="zh-CN" w:bidi="ar-SA"/>
              </w:rPr>
            </w:pPr>
            <w:r>
              <w:rPr>
                <w:rFonts w:hint="eastAsia" w:ascii="Times New Roman" w:hAnsi="Times New Roman" w:eastAsia="宋体" w:cs="Times New Roman"/>
                <w:b w:val="0"/>
                <w:smallCaps w:val="0"/>
                <w:strike w:val="0"/>
                <w:dstrike w:val="0"/>
                <w:color w:val="000000"/>
                <w:kern w:val="2"/>
                <w:sz w:val="21"/>
                <w:szCs w:val="21"/>
                <w:highlight w:val="none"/>
                <w:lang w:val="en-US" w:eastAsia="zh-CN" w:bidi="ar-SA"/>
              </w:rPr>
              <w:t>《环境空气 总悬浮颗粒物的测定 重量法》</w:t>
            </w:r>
          </w:p>
          <w:p w14:paraId="0B689CE5">
            <w:pPr>
              <w:pStyle w:val="4"/>
              <w:keepNext/>
              <w:keepLines/>
              <w:pageBreakBefore w:val="0"/>
              <w:widowControl/>
              <w:kinsoku/>
              <w:wordWrap w:val="0"/>
              <w:overflowPunct/>
              <w:topLinePunct w:val="0"/>
              <w:autoSpaceDE/>
              <w:autoSpaceDN/>
              <w:bidi w:val="0"/>
              <w:adjustRightInd/>
              <w:snapToGrid/>
              <w:spacing w:before="0" w:after="0" w:line="300" w:lineRule="atLeast"/>
              <w:jc w:val="center"/>
              <w:textAlignment w:val="auto"/>
              <w:rPr>
                <w:rFonts w:hint="eastAsia" w:ascii="Times New Roman" w:hAnsi="Times New Roman" w:eastAsia="宋体" w:cs="Times New Roman"/>
                <w:b/>
                <w:bCs/>
                <w:color w:val="auto"/>
                <w:kern w:val="0"/>
                <w:sz w:val="30"/>
                <w:szCs w:val="21"/>
                <w:highlight w:val="none"/>
                <w:lang w:val="en-US" w:eastAsia="zh-CN" w:bidi="ar-SA"/>
              </w:rPr>
            </w:pPr>
            <w:r>
              <w:rPr>
                <w:rFonts w:hint="eastAsia" w:ascii="Times New Roman" w:hAnsi="Times New Roman" w:eastAsia="宋体" w:cs="Times New Roman"/>
                <w:b w:val="0"/>
                <w:smallCaps w:val="0"/>
                <w:strike w:val="0"/>
                <w:dstrike w:val="0"/>
                <w:color w:val="000000"/>
                <w:kern w:val="2"/>
                <w:sz w:val="21"/>
                <w:szCs w:val="21"/>
                <w:highlight w:val="none"/>
                <w:lang w:val="en-US" w:eastAsia="zh-CN" w:bidi="ar-SA"/>
              </w:rPr>
              <w:t>HJ 1263-2022</w:t>
            </w:r>
          </w:p>
        </w:tc>
        <w:tc>
          <w:tcPr>
            <w:tcW w:w="1601" w:type="pct"/>
            <w:tcBorders>
              <w:top w:val="single" w:color="auto" w:sz="4" w:space="0"/>
              <w:left w:val="nil"/>
              <w:bottom w:val="single" w:color="auto" w:sz="4" w:space="0"/>
              <w:right w:val="single" w:color="auto" w:sz="4" w:space="0"/>
            </w:tcBorders>
            <w:shd w:val="clear" w:color="auto" w:fill="auto"/>
            <w:vAlign w:val="center"/>
          </w:tcPr>
          <w:p w14:paraId="249B8FF8">
            <w:pPr>
              <w:spacing w:line="300" w:lineRule="atLeast"/>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崂应2050型</w:t>
            </w:r>
          </w:p>
          <w:p w14:paraId="3E320A53">
            <w:pPr>
              <w:spacing w:line="300" w:lineRule="atLeast"/>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环境空气综合采样器（YFJC-YQ-085</w:t>
            </w:r>
            <w:r>
              <w:rPr>
                <w:rFonts w:hint="eastAsia" w:ascii="Times New Roman" w:hAnsi="Times New Roman" w:eastAsia="宋体" w:cs="Times New Roman"/>
                <w:color w:val="auto"/>
                <w:kern w:val="0"/>
                <w:szCs w:val="21"/>
                <w:highlight w:val="none"/>
                <w:lang w:eastAsia="zh-CN"/>
              </w:rPr>
              <w:t>、</w:t>
            </w:r>
            <w:r>
              <w:rPr>
                <w:rFonts w:hint="default" w:ascii="Times New Roman" w:hAnsi="Times New Roman" w:eastAsia="宋体" w:cs="Times New Roman"/>
                <w:color w:val="auto"/>
                <w:kern w:val="0"/>
                <w:szCs w:val="21"/>
                <w:highlight w:val="none"/>
              </w:rPr>
              <w:t>08</w:t>
            </w:r>
            <w:r>
              <w:rPr>
                <w:rFonts w:hint="eastAsia" w:ascii="Times New Roman" w:hAnsi="Times New Roman" w:eastAsia="宋体" w:cs="Times New Roman"/>
                <w:color w:val="auto"/>
                <w:kern w:val="0"/>
                <w:szCs w:val="21"/>
                <w:highlight w:val="none"/>
                <w:lang w:val="en-US" w:eastAsia="zh-CN"/>
              </w:rPr>
              <w:t>7</w:t>
            </w:r>
            <w:r>
              <w:rPr>
                <w:rFonts w:hint="default" w:ascii="Times New Roman" w:hAnsi="Times New Roman" w:eastAsia="宋体" w:cs="Times New Roman"/>
                <w:color w:val="auto"/>
                <w:kern w:val="0"/>
                <w:szCs w:val="21"/>
                <w:highlight w:val="none"/>
              </w:rPr>
              <w:t>）</w:t>
            </w:r>
          </w:p>
          <w:p w14:paraId="4CFE2D1E">
            <w:pPr>
              <w:spacing w:line="300" w:lineRule="atLeast"/>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 xml:space="preserve"> 崂应2050型空气智能TSP综合采样器（YFJC-YQ-20</w:t>
            </w:r>
            <w:r>
              <w:rPr>
                <w:rFonts w:hint="eastAsia" w:ascii="Times New Roman" w:hAnsi="Times New Roman" w:eastAsia="宋体" w:cs="Times New Roman"/>
                <w:color w:val="auto"/>
                <w:kern w:val="0"/>
                <w:szCs w:val="21"/>
                <w:highlight w:val="none"/>
                <w:lang w:val="en-US" w:eastAsia="zh-CN"/>
              </w:rPr>
              <w:t>3</w:t>
            </w:r>
            <w:r>
              <w:rPr>
                <w:rFonts w:hint="default" w:ascii="Times New Roman" w:hAnsi="Times New Roman" w:eastAsia="宋体" w:cs="Times New Roman"/>
                <w:color w:val="auto"/>
                <w:kern w:val="0"/>
                <w:szCs w:val="21"/>
                <w:highlight w:val="none"/>
              </w:rPr>
              <w:t>~20</w:t>
            </w:r>
            <w:r>
              <w:rPr>
                <w:rFonts w:hint="eastAsia" w:ascii="Times New Roman" w:hAnsi="Times New Roman" w:eastAsia="宋体" w:cs="Times New Roman"/>
                <w:color w:val="auto"/>
                <w:kern w:val="0"/>
                <w:szCs w:val="21"/>
                <w:highlight w:val="none"/>
                <w:lang w:val="en-US" w:eastAsia="zh-CN"/>
              </w:rPr>
              <w:t>4、206</w:t>
            </w:r>
            <w:r>
              <w:rPr>
                <w:rFonts w:hint="default" w:ascii="Times New Roman" w:hAnsi="Times New Roman" w:eastAsia="宋体" w:cs="Times New Roman"/>
                <w:color w:val="auto"/>
                <w:kern w:val="0"/>
                <w:szCs w:val="21"/>
                <w:highlight w:val="none"/>
              </w:rPr>
              <w:t>）AUW120D分析天平</w:t>
            </w:r>
          </w:p>
          <w:p w14:paraId="2913A805">
            <w:pPr>
              <w:spacing w:line="300" w:lineRule="atLeast"/>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（十万分之一）（YFJC-YQ-018）</w:t>
            </w:r>
          </w:p>
          <w:p w14:paraId="7C8CBA27">
            <w:pPr>
              <w:spacing w:line="300" w:lineRule="atLeast"/>
              <w:jc w:val="center"/>
              <w:rPr>
                <w:rFonts w:hint="eastAsia"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Cs w:val="21"/>
                <w:highlight w:val="none"/>
              </w:rPr>
              <w:t>H06恒温恒湿室（YFJC-YQ-055）</w:t>
            </w:r>
          </w:p>
        </w:tc>
        <w:tc>
          <w:tcPr>
            <w:tcW w:w="684" w:type="pct"/>
            <w:tcBorders>
              <w:top w:val="single" w:color="auto" w:sz="4" w:space="0"/>
              <w:left w:val="nil"/>
              <w:bottom w:val="single" w:color="auto" w:sz="4" w:space="0"/>
              <w:right w:val="single" w:color="auto" w:sz="4" w:space="0"/>
            </w:tcBorders>
            <w:shd w:val="clear" w:color="auto" w:fill="auto"/>
            <w:vAlign w:val="center"/>
          </w:tcPr>
          <w:p w14:paraId="1BA13C8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color w:val="000000"/>
                <w:kern w:val="0"/>
                <w:szCs w:val="21"/>
                <w:highlight w:val="none"/>
                <w:lang w:val="en-US" w:eastAsia="zh-CN"/>
              </w:rPr>
            </w:pPr>
            <w:r>
              <w:rPr>
                <w:rFonts w:hint="eastAsia" w:ascii="Times New Roman" w:hAnsi="Times New Roman" w:eastAsia="宋体" w:cs="Times New Roman"/>
                <w:color w:val="000000"/>
                <w:kern w:val="0"/>
                <w:szCs w:val="21"/>
                <w:highlight w:val="none"/>
                <w:lang w:val="en-US" w:eastAsia="zh-CN"/>
              </w:rPr>
              <w:t>168</w:t>
            </w:r>
          </w:p>
          <w:p w14:paraId="559BBC4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highlight w:val="none"/>
                <w:lang w:val="en-US" w:eastAsia="zh-CN"/>
              </w:rPr>
              <w:t>μg/</w:t>
            </w:r>
            <w:r>
              <w:rPr>
                <w:rFonts w:hint="eastAsia"/>
                <w:highlight w:val="none"/>
                <w:lang w:val="en-US" w:eastAsia="zh-CN"/>
              </w:rPr>
              <w:t>m</w:t>
            </w:r>
            <w:r>
              <w:rPr>
                <w:rFonts w:hint="eastAsia"/>
                <w:highlight w:val="none"/>
                <w:vertAlign w:val="superscript"/>
                <w:lang w:val="en-US" w:eastAsia="zh-CN"/>
              </w:rPr>
              <w:t>3</w:t>
            </w:r>
          </w:p>
        </w:tc>
      </w:tr>
      <w:tr w14:paraId="7B8C6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38" w:type="pct"/>
            <w:vMerge w:val="continue"/>
            <w:tcBorders>
              <w:left w:val="single" w:color="auto" w:sz="4" w:space="0"/>
              <w:right w:val="single" w:color="auto" w:sz="4" w:space="0"/>
            </w:tcBorders>
            <w:vAlign w:val="center"/>
          </w:tcPr>
          <w:p w14:paraId="70D4FECA">
            <w:pPr>
              <w:jc w:val="center"/>
              <w:rPr>
                <w:rFonts w:hint="default" w:ascii="Times New Roman" w:hAnsi="Times New Roman" w:eastAsia="宋体" w:cs="Times New Roman"/>
                <w:color w:val="auto"/>
                <w:sz w:val="21"/>
                <w:szCs w:val="21"/>
                <w:highlight w:val="none"/>
                <w:lang w:val="en-US" w:eastAsia="zh-CN"/>
              </w:rPr>
            </w:pPr>
          </w:p>
        </w:tc>
        <w:tc>
          <w:tcPr>
            <w:tcW w:w="584" w:type="pct"/>
            <w:tcBorders>
              <w:top w:val="single" w:color="auto" w:sz="4" w:space="0"/>
              <w:left w:val="nil"/>
              <w:bottom w:val="single" w:color="auto" w:sz="4" w:space="0"/>
              <w:right w:val="single" w:color="auto" w:sz="4" w:space="0"/>
            </w:tcBorders>
            <w:shd w:val="clear" w:color="auto" w:fill="auto"/>
            <w:vAlign w:val="center"/>
          </w:tcPr>
          <w:p w14:paraId="7FF68383">
            <w:pPr>
              <w:adjustRightInd w:val="0"/>
              <w:snapToGrid w:val="0"/>
              <w:jc w:val="center"/>
              <w:rPr>
                <w:rFonts w:hint="eastAsia" w:ascii="Times New Roman" w:hAnsi="Times New Roman" w:eastAsia="宋体" w:cs="Times New Roman"/>
                <w:b w:val="0"/>
                <w:smallCaps w:val="0"/>
                <w:strike w:val="0"/>
                <w:dstrike w:val="0"/>
                <w:color w:val="000000"/>
                <w:kern w:val="2"/>
                <w:sz w:val="21"/>
                <w:szCs w:val="21"/>
                <w:highlight w:val="none"/>
                <w:lang w:val="en-US" w:eastAsia="zh-CN" w:bidi="ar-SA"/>
              </w:rPr>
            </w:pPr>
            <w:r>
              <w:rPr>
                <w:rFonts w:hint="eastAsia" w:ascii="Times New Roman" w:hAnsi="Times New Roman" w:eastAsia="宋体" w:cs="Times New Roman"/>
                <w:b w:val="0"/>
                <w:smallCaps w:val="0"/>
                <w:strike w:val="0"/>
                <w:dstrike w:val="0"/>
                <w:color w:val="000000"/>
                <w:kern w:val="2"/>
                <w:sz w:val="21"/>
                <w:szCs w:val="21"/>
                <w:highlight w:val="none"/>
                <w:lang w:val="en-US" w:eastAsia="zh-CN" w:bidi="ar-SA"/>
              </w:rPr>
              <w:t>硫酸雾</w:t>
            </w:r>
          </w:p>
        </w:tc>
        <w:tc>
          <w:tcPr>
            <w:tcW w:w="1691" w:type="pct"/>
            <w:tcBorders>
              <w:top w:val="single" w:color="auto" w:sz="4" w:space="0"/>
              <w:left w:val="nil"/>
              <w:bottom w:val="single" w:color="auto" w:sz="4" w:space="0"/>
              <w:right w:val="single" w:color="auto" w:sz="4" w:space="0"/>
            </w:tcBorders>
            <w:shd w:val="clear" w:color="auto" w:fill="auto"/>
            <w:vAlign w:val="center"/>
          </w:tcPr>
          <w:p w14:paraId="314F23A0">
            <w:pPr>
              <w:adjustRightInd w:val="0"/>
              <w:snapToGrid w:val="0"/>
              <w:jc w:val="center"/>
              <w:rPr>
                <w:rFonts w:hint="eastAsia" w:ascii="Times New Roman" w:hAnsi="Times New Roman" w:eastAsia="宋体" w:cs="Times New Roman"/>
                <w:b w:val="0"/>
                <w:smallCaps w:val="0"/>
                <w:strike w:val="0"/>
                <w:dstrike w:val="0"/>
                <w:color w:val="000000"/>
                <w:kern w:val="2"/>
                <w:sz w:val="21"/>
                <w:szCs w:val="21"/>
                <w:highlight w:val="none"/>
                <w:lang w:val="en-US" w:eastAsia="zh-CN" w:bidi="ar-SA"/>
              </w:rPr>
            </w:pPr>
            <w:r>
              <w:rPr>
                <w:rFonts w:hint="eastAsia" w:ascii="Times New Roman" w:hAnsi="Times New Roman" w:eastAsia="宋体" w:cs="Times New Roman"/>
                <w:b w:val="0"/>
                <w:smallCaps w:val="0"/>
                <w:strike w:val="0"/>
                <w:dstrike w:val="0"/>
                <w:color w:val="000000"/>
                <w:kern w:val="2"/>
                <w:sz w:val="21"/>
                <w:szCs w:val="21"/>
                <w:highlight w:val="none"/>
                <w:lang w:val="en-US" w:eastAsia="zh-CN" w:bidi="ar-SA"/>
              </w:rPr>
              <w:t>《固定污染源废气 硫酸雾的测定 离子色谱法》HJ 544-2016</w:t>
            </w:r>
          </w:p>
        </w:tc>
        <w:tc>
          <w:tcPr>
            <w:tcW w:w="1601" w:type="pct"/>
            <w:tcBorders>
              <w:top w:val="single" w:color="auto" w:sz="4" w:space="0"/>
              <w:left w:val="nil"/>
              <w:bottom w:val="single" w:color="auto" w:sz="4" w:space="0"/>
              <w:right w:val="single" w:color="auto" w:sz="4" w:space="0"/>
            </w:tcBorders>
            <w:shd w:val="clear" w:color="auto" w:fill="auto"/>
            <w:vAlign w:val="center"/>
          </w:tcPr>
          <w:p w14:paraId="2262805D">
            <w:pPr>
              <w:spacing w:line="300" w:lineRule="atLeast"/>
              <w:jc w:val="center"/>
              <w:rPr>
                <w:rFonts w:hint="eastAsia" w:ascii="Times New Roman" w:hAnsi="Times New Roman" w:eastAsia="宋体" w:cs="Times New Roman"/>
                <w:color w:val="auto"/>
                <w:kern w:val="0"/>
                <w:szCs w:val="21"/>
                <w:highlight w:val="none"/>
                <w:lang w:eastAsia="zh-CN"/>
              </w:rPr>
            </w:pPr>
            <w:r>
              <w:rPr>
                <w:rFonts w:hint="eastAsia" w:ascii="Times New Roman" w:hAnsi="Times New Roman" w:eastAsia="宋体" w:cs="Times New Roman"/>
                <w:color w:val="auto"/>
                <w:kern w:val="0"/>
                <w:szCs w:val="21"/>
                <w:highlight w:val="none"/>
                <w:lang w:eastAsia="zh-CN"/>
              </w:rPr>
              <w:t>MH1205恒温恒流大气/颗粒物采样器（YFJC-YQ-14</w:t>
            </w:r>
            <w:r>
              <w:rPr>
                <w:rFonts w:hint="eastAsia" w:ascii="Times New Roman" w:hAnsi="Times New Roman" w:eastAsia="宋体" w:cs="Times New Roman"/>
                <w:color w:val="auto"/>
                <w:kern w:val="0"/>
                <w:szCs w:val="21"/>
                <w:highlight w:val="none"/>
                <w:lang w:val="en-US" w:eastAsia="zh-CN"/>
              </w:rPr>
              <w:t>2</w:t>
            </w:r>
            <w:r>
              <w:rPr>
                <w:rFonts w:hint="eastAsia" w:ascii="Times New Roman" w:hAnsi="Times New Roman" w:eastAsia="宋体" w:cs="Times New Roman"/>
                <w:color w:val="auto"/>
                <w:kern w:val="0"/>
                <w:szCs w:val="21"/>
                <w:highlight w:val="none"/>
                <w:lang w:eastAsia="zh-CN"/>
              </w:rPr>
              <w:t>）</w:t>
            </w:r>
          </w:p>
          <w:p w14:paraId="7646A72A">
            <w:pPr>
              <w:spacing w:line="300" w:lineRule="atLeast"/>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崂应2050型</w:t>
            </w:r>
          </w:p>
          <w:p w14:paraId="25088A9B">
            <w:pPr>
              <w:spacing w:line="300" w:lineRule="atLeast"/>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环境空气综合采样器（YFJC-YQ-08</w:t>
            </w:r>
            <w:r>
              <w:rPr>
                <w:rFonts w:hint="eastAsia" w:ascii="Times New Roman" w:hAnsi="Times New Roman" w:eastAsia="宋体" w:cs="Times New Roman"/>
                <w:color w:val="auto"/>
                <w:kern w:val="0"/>
                <w:szCs w:val="21"/>
                <w:highlight w:val="none"/>
                <w:lang w:val="en-US" w:eastAsia="zh-CN"/>
              </w:rPr>
              <w:t>8</w:t>
            </w:r>
            <w:r>
              <w:rPr>
                <w:rFonts w:hint="default" w:ascii="Times New Roman" w:hAnsi="Times New Roman" w:eastAsia="宋体" w:cs="Times New Roman"/>
                <w:color w:val="auto"/>
                <w:kern w:val="0"/>
                <w:szCs w:val="21"/>
                <w:highlight w:val="none"/>
              </w:rPr>
              <w:t>）</w:t>
            </w:r>
          </w:p>
          <w:p w14:paraId="40AD2ACC">
            <w:pPr>
              <w:spacing w:line="300" w:lineRule="atLeast"/>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 xml:space="preserve"> 崂应2050型空气智能TSP综合采样器（YFJC-YQ-20</w:t>
            </w:r>
            <w:r>
              <w:rPr>
                <w:rFonts w:hint="eastAsia" w:ascii="Times New Roman" w:hAnsi="Times New Roman" w:eastAsia="宋体" w:cs="Times New Roman"/>
                <w:color w:val="auto"/>
                <w:kern w:val="0"/>
                <w:szCs w:val="21"/>
                <w:highlight w:val="none"/>
                <w:lang w:val="en-US" w:eastAsia="zh-CN"/>
              </w:rPr>
              <w:t>0</w:t>
            </w:r>
            <w:r>
              <w:rPr>
                <w:rFonts w:hint="default" w:ascii="Times New Roman" w:hAnsi="Times New Roman" w:eastAsia="宋体" w:cs="Times New Roman"/>
                <w:color w:val="auto"/>
                <w:kern w:val="0"/>
                <w:szCs w:val="21"/>
                <w:highlight w:val="none"/>
              </w:rPr>
              <w:t>~20</w:t>
            </w:r>
            <w:r>
              <w:rPr>
                <w:rFonts w:hint="eastAsia" w:ascii="Times New Roman" w:hAnsi="Times New Roman" w:eastAsia="宋体" w:cs="Times New Roman"/>
                <w:color w:val="auto"/>
                <w:kern w:val="0"/>
                <w:szCs w:val="21"/>
                <w:highlight w:val="none"/>
                <w:lang w:val="en-US" w:eastAsia="zh-CN"/>
              </w:rPr>
              <w:t>1</w:t>
            </w:r>
            <w:r>
              <w:rPr>
                <w:rFonts w:hint="default" w:ascii="Times New Roman" w:hAnsi="Times New Roman" w:eastAsia="宋体" w:cs="Times New Roman"/>
                <w:color w:val="auto"/>
                <w:kern w:val="0"/>
                <w:szCs w:val="21"/>
                <w:highlight w:val="none"/>
              </w:rPr>
              <w:t>）</w:t>
            </w:r>
          </w:p>
          <w:p w14:paraId="5426D159">
            <w:pPr>
              <w:spacing w:line="300" w:lineRule="atLeast"/>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Cs w:val="21"/>
                <w:highlight w:val="none"/>
                <w:lang w:val="en-US" w:eastAsia="zh-CN"/>
              </w:rPr>
              <w:t>PIC-10A/PIC-10型离子色谱仪（YFJC-YQ-049）</w:t>
            </w:r>
          </w:p>
        </w:tc>
        <w:tc>
          <w:tcPr>
            <w:tcW w:w="684" w:type="pct"/>
            <w:tcBorders>
              <w:top w:val="single" w:color="auto" w:sz="4" w:space="0"/>
              <w:left w:val="nil"/>
              <w:bottom w:val="single" w:color="auto" w:sz="4" w:space="0"/>
              <w:right w:val="single" w:color="auto" w:sz="4" w:space="0"/>
            </w:tcBorders>
            <w:shd w:val="clear" w:color="auto" w:fill="auto"/>
            <w:vAlign w:val="center"/>
          </w:tcPr>
          <w:p w14:paraId="73298023">
            <w:pPr>
              <w:spacing w:line="300" w:lineRule="atLeast"/>
              <w:jc w:val="center"/>
              <w:rPr>
                <w:rFonts w:hint="eastAsia" w:ascii="Times New Roman" w:hAnsi="Times New Roman" w:eastAsia="等线" w:cs="Times New Roman"/>
                <w:color w:val="auto"/>
                <w:kern w:val="2"/>
                <w:sz w:val="21"/>
                <w:szCs w:val="22"/>
                <w:highlight w:val="none"/>
                <w:lang w:val="en-US" w:eastAsia="zh-CN" w:bidi="ar-SA"/>
              </w:rPr>
            </w:pPr>
            <w:r>
              <w:rPr>
                <w:rFonts w:hint="eastAsia" w:ascii="Times New Roman" w:hAnsi="Times New Roman" w:cs="Times New Roman"/>
                <w:color w:val="auto"/>
                <w:highlight w:val="none"/>
                <w:lang w:val="en-US" w:eastAsia="zh-CN"/>
              </w:rPr>
              <w:t>0.005</w:t>
            </w:r>
          </w:p>
        </w:tc>
      </w:tr>
    </w:tbl>
    <w:p w14:paraId="43F493C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eastAsiaTheme="minorEastAsia"/>
          <w:color w:val="auto"/>
          <w:sz w:val="24"/>
          <w:szCs w:val="24"/>
          <w:highlight w:val="none"/>
        </w:rPr>
      </w:pPr>
      <w:r>
        <w:rPr>
          <w:rFonts w:hint="eastAsia" w:ascii="Times New Roman" w:hAnsi="Times New Roman" w:eastAsiaTheme="minorEastAsia"/>
          <w:color w:val="auto"/>
          <w:sz w:val="24"/>
          <w:szCs w:val="24"/>
          <w:highlight w:val="none"/>
        </w:rPr>
        <w:t>（</w:t>
      </w:r>
      <w:r>
        <w:rPr>
          <w:rFonts w:hint="eastAsia" w:ascii="Times New Roman" w:hAnsi="Times New Roman" w:eastAsiaTheme="minorEastAsia"/>
          <w:color w:val="auto"/>
          <w:sz w:val="24"/>
          <w:szCs w:val="24"/>
          <w:highlight w:val="none"/>
          <w:lang w:val="en-US" w:eastAsia="zh-CN"/>
        </w:rPr>
        <w:t>2</w:t>
      </w:r>
      <w:r>
        <w:rPr>
          <w:rFonts w:hint="eastAsia" w:ascii="Times New Roman" w:hAnsi="Times New Roman" w:eastAsiaTheme="minorEastAsia"/>
          <w:color w:val="auto"/>
          <w:sz w:val="24"/>
          <w:szCs w:val="24"/>
          <w:highlight w:val="none"/>
        </w:rPr>
        <w:t>）噪声监测</w:t>
      </w:r>
    </w:p>
    <w:p w14:paraId="0C31143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eastAsiaTheme="minorEastAsia"/>
          <w:color w:val="auto"/>
          <w:sz w:val="24"/>
          <w:szCs w:val="24"/>
          <w:highlight w:val="none"/>
        </w:rPr>
      </w:pPr>
      <w:r>
        <w:rPr>
          <w:rFonts w:hint="eastAsia" w:ascii="Times New Roman" w:hAnsi="Times New Roman" w:eastAsiaTheme="minorEastAsia"/>
          <w:color w:val="auto"/>
          <w:sz w:val="24"/>
          <w:szCs w:val="24"/>
          <w:highlight w:val="none"/>
        </w:rPr>
        <w:t>项目噪声监测具体分析方法见表8</w:t>
      </w:r>
      <w:r>
        <w:rPr>
          <w:rFonts w:hint="eastAsia" w:ascii="Times New Roman" w:hAnsi="Times New Roman" w:eastAsiaTheme="minorEastAsia"/>
          <w:color w:val="auto"/>
          <w:sz w:val="24"/>
          <w:szCs w:val="24"/>
          <w:highlight w:val="none"/>
          <w:lang w:val="en-US" w:eastAsia="zh-CN"/>
        </w:rPr>
        <w:t>-3</w:t>
      </w:r>
      <w:r>
        <w:rPr>
          <w:rFonts w:hint="eastAsia" w:ascii="Times New Roman" w:hAnsi="Times New Roman" w:eastAsiaTheme="minorEastAsia"/>
          <w:color w:val="auto"/>
          <w:sz w:val="24"/>
          <w:szCs w:val="24"/>
          <w:highlight w:val="none"/>
        </w:rPr>
        <w:t>。</w:t>
      </w:r>
    </w:p>
    <w:p w14:paraId="11DE716A">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Times New Roman" w:hAnsi="Times New Roman" w:eastAsiaTheme="minorEastAsia"/>
          <w:b/>
          <w:color w:val="auto"/>
          <w:sz w:val="24"/>
          <w:szCs w:val="24"/>
          <w:highlight w:val="none"/>
        </w:rPr>
      </w:pPr>
      <w:r>
        <w:rPr>
          <w:rFonts w:hint="eastAsia" w:ascii="Times New Roman" w:hAnsi="Times New Roman" w:eastAsiaTheme="minorEastAsia"/>
          <w:b/>
          <w:color w:val="auto"/>
          <w:sz w:val="21"/>
          <w:szCs w:val="21"/>
          <w:highlight w:val="none"/>
        </w:rPr>
        <w:t>表8-</w:t>
      </w:r>
      <w:r>
        <w:rPr>
          <w:rFonts w:hint="eastAsia" w:ascii="Times New Roman" w:hAnsi="Times New Roman" w:eastAsiaTheme="minorEastAsia"/>
          <w:b/>
          <w:color w:val="auto"/>
          <w:sz w:val="21"/>
          <w:szCs w:val="21"/>
          <w:highlight w:val="none"/>
          <w:lang w:val="en-US" w:eastAsia="zh-CN"/>
        </w:rPr>
        <w:t>3</w:t>
      </w:r>
      <w:r>
        <w:rPr>
          <w:rFonts w:hint="eastAsia" w:ascii="Times New Roman" w:hAnsi="Times New Roman" w:eastAsiaTheme="minorEastAsia"/>
          <w:b/>
          <w:color w:val="auto"/>
          <w:sz w:val="21"/>
          <w:szCs w:val="21"/>
          <w:highlight w:val="none"/>
        </w:rPr>
        <w:t xml:space="preserve">  噪声监测分析方法</w:t>
      </w:r>
    </w:p>
    <w:tbl>
      <w:tblPr>
        <w:tblStyle w:val="32"/>
        <w:tblW w:w="50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6"/>
        <w:gridCol w:w="1095"/>
        <w:gridCol w:w="2362"/>
        <w:gridCol w:w="4054"/>
      </w:tblGrid>
      <w:tr w14:paraId="1B158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77" w:type="dxa"/>
            <w:tcBorders>
              <w:top w:val="single" w:color="auto" w:sz="4" w:space="0"/>
              <w:left w:val="single" w:color="auto" w:sz="4" w:space="0"/>
              <w:bottom w:val="single" w:color="auto" w:sz="4" w:space="0"/>
              <w:right w:val="single" w:color="auto" w:sz="4" w:space="0"/>
            </w:tcBorders>
            <w:vAlign w:val="center"/>
          </w:tcPr>
          <w:p w14:paraId="6EB69905">
            <w:pPr>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b w:val="0"/>
                <w:bCs w:val="0"/>
                <w:color w:val="auto"/>
                <w:kern w:val="44"/>
                <w:sz w:val="21"/>
                <w:szCs w:val="21"/>
                <w:highlight w:val="none"/>
                <w:vertAlign w:val="baseline"/>
                <w:lang w:val="en-US" w:eastAsia="zh-CN" w:bidi="ar-SA"/>
              </w:rPr>
              <w:t>检测类别</w:t>
            </w:r>
          </w:p>
        </w:tc>
        <w:tc>
          <w:tcPr>
            <w:tcW w:w="1095" w:type="dxa"/>
            <w:tcBorders>
              <w:top w:val="single" w:color="auto" w:sz="4" w:space="0"/>
              <w:left w:val="nil"/>
              <w:bottom w:val="single" w:color="auto" w:sz="4" w:space="0"/>
              <w:right w:val="single" w:color="auto" w:sz="4" w:space="0"/>
            </w:tcBorders>
            <w:vAlign w:val="center"/>
          </w:tcPr>
          <w:p w14:paraId="2E947018">
            <w:pPr>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b w:val="0"/>
                <w:bCs w:val="0"/>
                <w:color w:val="auto"/>
                <w:kern w:val="44"/>
                <w:sz w:val="21"/>
                <w:szCs w:val="21"/>
                <w:highlight w:val="none"/>
                <w:vertAlign w:val="baseline"/>
                <w:lang w:val="en-US" w:eastAsia="zh-CN" w:bidi="ar-SA"/>
              </w:rPr>
              <w:t>检测项目</w:t>
            </w:r>
          </w:p>
        </w:tc>
        <w:tc>
          <w:tcPr>
            <w:tcW w:w="2362" w:type="dxa"/>
            <w:tcBorders>
              <w:top w:val="single" w:color="auto" w:sz="4" w:space="0"/>
              <w:left w:val="nil"/>
              <w:bottom w:val="single" w:color="auto" w:sz="4" w:space="0"/>
              <w:right w:val="single" w:color="auto" w:sz="4" w:space="0"/>
            </w:tcBorders>
            <w:vAlign w:val="center"/>
          </w:tcPr>
          <w:p w14:paraId="264B5CEC">
            <w:pPr>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b w:val="0"/>
                <w:bCs w:val="0"/>
                <w:color w:val="auto"/>
                <w:kern w:val="44"/>
                <w:sz w:val="21"/>
                <w:szCs w:val="21"/>
                <w:highlight w:val="none"/>
                <w:vertAlign w:val="baseline"/>
                <w:lang w:val="en-US" w:eastAsia="zh-CN" w:bidi="ar-SA"/>
              </w:rPr>
              <w:t>分析方法名称及标准号</w:t>
            </w:r>
          </w:p>
        </w:tc>
        <w:tc>
          <w:tcPr>
            <w:tcW w:w="4054" w:type="dxa"/>
            <w:tcBorders>
              <w:top w:val="single" w:color="auto" w:sz="4" w:space="0"/>
              <w:left w:val="nil"/>
              <w:bottom w:val="single" w:color="auto" w:sz="4" w:space="0"/>
              <w:right w:val="single" w:color="auto" w:sz="4" w:space="0"/>
            </w:tcBorders>
            <w:vAlign w:val="center"/>
          </w:tcPr>
          <w:p w14:paraId="0CE1A30F">
            <w:pPr>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b w:val="0"/>
                <w:bCs w:val="0"/>
                <w:color w:val="auto"/>
                <w:kern w:val="44"/>
                <w:sz w:val="21"/>
                <w:szCs w:val="21"/>
                <w:highlight w:val="none"/>
                <w:vertAlign w:val="baseline"/>
                <w:lang w:val="en-US" w:eastAsia="zh-CN" w:bidi="ar-SA"/>
              </w:rPr>
              <w:t>仪器名称型号及编号</w:t>
            </w:r>
          </w:p>
        </w:tc>
      </w:tr>
      <w:tr w14:paraId="0555A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77" w:type="dxa"/>
            <w:vMerge w:val="restart"/>
            <w:tcBorders>
              <w:left w:val="single" w:color="auto" w:sz="4" w:space="0"/>
              <w:right w:val="single" w:color="auto" w:sz="4" w:space="0"/>
            </w:tcBorders>
            <w:shd w:val="clear" w:color="auto" w:fill="auto"/>
            <w:vAlign w:val="center"/>
          </w:tcPr>
          <w:p w14:paraId="5F4361E8">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val="0"/>
                <w:color w:val="auto"/>
                <w:kern w:val="44"/>
                <w:sz w:val="21"/>
                <w:szCs w:val="21"/>
                <w:highlight w:val="none"/>
                <w:vertAlign w:val="baseline"/>
                <w:lang w:val="en-US" w:eastAsia="zh-CN" w:bidi="ar-SA"/>
              </w:rPr>
              <w:t>噪声</w:t>
            </w:r>
          </w:p>
        </w:tc>
        <w:tc>
          <w:tcPr>
            <w:tcW w:w="1095" w:type="dxa"/>
            <w:tcBorders>
              <w:top w:val="single" w:color="auto" w:sz="4" w:space="0"/>
              <w:left w:val="nil"/>
              <w:bottom w:val="single" w:color="auto" w:sz="4" w:space="0"/>
              <w:right w:val="single" w:color="auto" w:sz="4" w:space="0"/>
            </w:tcBorders>
            <w:shd w:val="clear" w:color="auto" w:fill="auto"/>
            <w:vAlign w:val="center"/>
          </w:tcPr>
          <w:p w14:paraId="2B02D4E9">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Cs w:val="21"/>
                <w:highlight w:val="none"/>
              </w:rPr>
              <w:t>厂界环境噪声</w:t>
            </w:r>
          </w:p>
        </w:tc>
        <w:tc>
          <w:tcPr>
            <w:tcW w:w="2362" w:type="dxa"/>
            <w:tcBorders>
              <w:top w:val="single" w:color="auto" w:sz="4" w:space="0"/>
              <w:left w:val="nil"/>
              <w:bottom w:val="single" w:color="auto" w:sz="4" w:space="0"/>
              <w:right w:val="single" w:color="auto" w:sz="4" w:space="0"/>
            </w:tcBorders>
            <w:shd w:val="clear" w:color="auto" w:fill="auto"/>
            <w:vAlign w:val="center"/>
          </w:tcPr>
          <w:p w14:paraId="70FF724D">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Cs w:val="21"/>
                <w:highlight w:val="none"/>
              </w:rPr>
              <w:t>《工业企业厂界环境噪声排放标准》GB 12348-2008</w:t>
            </w:r>
          </w:p>
        </w:tc>
        <w:tc>
          <w:tcPr>
            <w:tcW w:w="4054" w:type="dxa"/>
            <w:tcBorders>
              <w:top w:val="single" w:color="auto" w:sz="4" w:space="0"/>
              <w:left w:val="nil"/>
              <w:bottom w:val="single" w:color="auto" w:sz="4" w:space="0"/>
              <w:right w:val="single" w:color="auto" w:sz="4" w:space="0"/>
            </w:tcBorders>
            <w:shd w:val="clear" w:color="auto" w:fill="auto"/>
            <w:vAlign w:val="center"/>
          </w:tcPr>
          <w:p w14:paraId="793E2F48">
            <w:pPr>
              <w:adjustRightInd w:val="0"/>
              <w:snapToGrid w:val="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AWA6221B声级校准器（YFJC-YQ-011）</w:t>
            </w:r>
          </w:p>
          <w:p w14:paraId="6667187B">
            <w:pPr>
              <w:adjustRightInd w:val="0"/>
              <w:snapToGrid w:val="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AWA5688型多功能声级计（YFJC-YQ-012）</w:t>
            </w:r>
          </w:p>
          <w:p w14:paraId="7282F279">
            <w:pP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Cs w:val="21"/>
                <w:highlight w:val="none"/>
              </w:rPr>
              <w:t>WJ-8便携式风速仪（YFJC-YQ-014）</w:t>
            </w:r>
          </w:p>
        </w:tc>
      </w:tr>
      <w:tr w14:paraId="65D59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77" w:type="dxa"/>
            <w:vMerge w:val="continue"/>
            <w:tcBorders>
              <w:left w:val="single" w:color="auto" w:sz="4" w:space="0"/>
              <w:right w:val="single" w:color="auto" w:sz="4" w:space="0"/>
            </w:tcBorders>
            <w:shd w:val="clear" w:color="auto" w:fill="auto"/>
            <w:vAlign w:val="center"/>
          </w:tcPr>
          <w:p w14:paraId="0B3054BC">
            <w:pPr>
              <w:jc w:val="center"/>
              <w:rPr>
                <w:rFonts w:hint="default" w:ascii="Times New Roman" w:hAnsi="Times New Roman" w:eastAsia="宋体" w:cs="Times New Roman"/>
                <w:b w:val="0"/>
                <w:bCs w:val="0"/>
                <w:color w:val="auto"/>
                <w:kern w:val="44"/>
                <w:sz w:val="21"/>
                <w:szCs w:val="21"/>
                <w:highlight w:val="none"/>
                <w:vertAlign w:val="baseline"/>
                <w:lang w:val="en-US" w:eastAsia="zh-CN" w:bidi="ar-SA"/>
              </w:rPr>
            </w:pPr>
          </w:p>
        </w:tc>
        <w:tc>
          <w:tcPr>
            <w:tcW w:w="1095" w:type="dxa"/>
            <w:tcBorders>
              <w:top w:val="single" w:color="auto" w:sz="4" w:space="0"/>
              <w:left w:val="nil"/>
              <w:bottom w:val="single" w:color="auto" w:sz="4" w:space="0"/>
              <w:right w:val="single" w:color="auto" w:sz="4" w:space="0"/>
            </w:tcBorders>
            <w:shd w:val="clear" w:color="auto" w:fill="auto"/>
            <w:vAlign w:val="center"/>
          </w:tcPr>
          <w:p w14:paraId="2B106879">
            <w:pPr>
              <w:adjustRightInd w:val="0"/>
              <w:snapToGrid w:val="0"/>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0"/>
                <w:szCs w:val="21"/>
                <w:highlight w:val="none"/>
                <w:lang w:eastAsia="zh-CN"/>
              </w:rPr>
              <w:t>环境噪声</w:t>
            </w:r>
          </w:p>
        </w:tc>
        <w:tc>
          <w:tcPr>
            <w:tcW w:w="2362" w:type="dxa"/>
            <w:tcBorders>
              <w:top w:val="single" w:color="auto" w:sz="4" w:space="0"/>
              <w:left w:val="nil"/>
              <w:bottom w:val="single" w:color="auto" w:sz="4" w:space="0"/>
              <w:right w:val="single" w:color="auto" w:sz="4" w:space="0"/>
            </w:tcBorders>
            <w:shd w:val="clear" w:color="auto" w:fill="auto"/>
            <w:vAlign w:val="center"/>
          </w:tcPr>
          <w:p w14:paraId="459670A4">
            <w:pPr>
              <w:adjustRightInd w:val="0"/>
              <w:snapToGrid w:val="0"/>
              <w:jc w:val="center"/>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kern w:val="0"/>
                <w:szCs w:val="21"/>
                <w:highlight w:val="none"/>
                <w:lang w:val="en-US" w:eastAsia="zh-CN"/>
              </w:rPr>
              <w:t>《声环境质量标准》GB3096-2008</w:t>
            </w:r>
          </w:p>
        </w:tc>
        <w:tc>
          <w:tcPr>
            <w:tcW w:w="4054" w:type="dxa"/>
            <w:tcBorders>
              <w:top w:val="single" w:color="auto" w:sz="4" w:space="0"/>
              <w:left w:val="nil"/>
              <w:bottom w:val="single" w:color="auto" w:sz="4" w:space="0"/>
              <w:right w:val="single" w:color="auto" w:sz="4" w:space="0"/>
            </w:tcBorders>
            <w:shd w:val="clear" w:color="auto" w:fill="auto"/>
            <w:vAlign w:val="center"/>
          </w:tcPr>
          <w:p w14:paraId="3AAB2E66">
            <w:pPr>
              <w:adjustRightInd w:val="0"/>
              <w:snapToGrid w:val="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AWA6221B声级校准器（YFJC-YQ-011）</w:t>
            </w:r>
          </w:p>
          <w:p w14:paraId="1E016A58">
            <w:pPr>
              <w:adjustRightInd w:val="0"/>
              <w:snapToGrid w:val="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AWA5688型多功能声级计（YFJC-YQ-012）</w:t>
            </w:r>
          </w:p>
          <w:p w14:paraId="4CCD3A1F">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Cs w:val="21"/>
                <w:highlight w:val="none"/>
              </w:rPr>
              <w:t>WJ-8便携式风速仪（YFJC-YQ-014）</w:t>
            </w:r>
          </w:p>
        </w:tc>
      </w:tr>
    </w:tbl>
    <w:p w14:paraId="5374C1B7">
      <w:pPr>
        <w:pStyle w:val="5"/>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8.2人员能力</w:t>
      </w:r>
      <w:bookmarkEnd w:id="33"/>
    </w:p>
    <w:p w14:paraId="351BCC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参加本项目检测人员均持证上岗，检测人员均具备采样及分析等相关能力。</w:t>
      </w:r>
    </w:p>
    <w:p w14:paraId="76F6D705">
      <w:pPr>
        <w:pStyle w:val="5"/>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34" w:name="_Toc13972"/>
      <w:r>
        <w:rPr>
          <w:rFonts w:hint="default" w:ascii="Times New Roman" w:hAnsi="Times New Roman" w:eastAsia="宋体" w:cs="Times New Roman"/>
          <w:color w:val="000000" w:themeColor="text1"/>
          <w:highlight w:val="none"/>
          <w14:textFill>
            <w14:solidFill>
              <w14:schemeClr w14:val="tx1"/>
            </w14:solidFill>
          </w14:textFill>
        </w:rPr>
        <w:t>8.3监测分析过程中的质量保证和质量控制</w:t>
      </w:r>
      <w:bookmarkEnd w:id="34"/>
    </w:p>
    <w:p w14:paraId="3B8B16A9">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固定污染源废气</w:t>
      </w:r>
      <w:r>
        <w:rPr>
          <w:rFonts w:hint="default" w:ascii="Times New Roman" w:hAnsi="Times New Roman" w:eastAsia="宋体" w:cs="Times New Roman"/>
          <w:color w:val="auto"/>
          <w:sz w:val="24"/>
          <w:szCs w:val="24"/>
          <w:highlight w:val="none"/>
        </w:rPr>
        <w:t>检测</w:t>
      </w:r>
    </w:p>
    <w:p w14:paraId="68999D05">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固定污染源废气</w:t>
      </w:r>
      <w:r>
        <w:rPr>
          <w:rFonts w:hint="default" w:ascii="Times New Roman" w:hAnsi="Times New Roman" w:eastAsia="宋体" w:cs="Times New Roman"/>
          <w:color w:val="auto"/>
          <w:sz w:val="24"/>
          <w:szCs w:val="24"/>
          <w:highlight w:val="none"/>
        </w:rPr>
        <w:t>检测仪器均符合国家有关标准或技术要求，检测前对使用的仪器均进行流量校准，按规定对采样器进行现场检漏，采样严格按照《</w:t>
      </w:r>
      <w:r>
        <w:rPr>
          <w:rFonts w:hint="default" w:ascii="Times New Roman" w:hAnsi="Times New Roman" w:eastAsia="宋体" w:cs="Times New Roman"/>
          <w:color w:val="auto"/>
          <w:sz w:val="24"/>
          <w:szCs w:val="24"/>
          <w:highlight w:val="none"/>
          <w:lang w:val="en-US" w:eastAsia="zh-CN"/>
        </w:rPr>
        <w:t>固定源废气监测技术规范</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HJ/T 397-2007</w:t>
      </w:r>
      <w:r>
        <w:rPr>
          <w:rFonts w:hint="default" w:ascii="Times New Roman" w:hAnsi="Times New Roman" w:eastAsia="宋体" w:cs="Times New Roman"/>
          <w:color w:val="auto"/>
          <w:sz w:val="24"/>
          <w:szCs w:val="24"/>
          <w:highlight w:val="none"/>
        </w:rPr>
        <w:t>进行。</w:t>
      </w:r>
    </w:p>
    <w:p w14:paraId="583FBF67">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val="en-US" w:eastAsia="zh-CN"/>
        </w:rPr>
        <w:t>无组织废气</w:t>
      </w:r>
      <w:r>
        <w:rPr>
          <w:rFonts w:hint="default" w:ascii="Times New Roman" w:hAnsi="Times New Roman" w:eastAsia="宋体" w:cs="Times New Roman"/>
          <w:color w:val="auto"/>
          <w:sz w:val="24"/>
          <w:szCs w:val="24"/>
          <w:highlight w:val="none"/>
          <w:lang w:val="en-US" w:eastAsia="zh-CN"/>
        </w:rPr>
        <w:t>检测</w:t>
      </w:r>
    </w:p>
    <w:p w14:paraId="24DF3CA0">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outlineLvl w:val="9"/>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无组织废气</w:t>
      </w:r>
      <w:r>
        <w:rPr>
          <w:rFonts w:hint="default" w:ascii="Times New Roman" w:hAnsi="Times New Roman" w:eastAsia="宋体" w:cs="Times New Roman"/>
          <w:color w:val="auto"/>
          <w:sz w:val="24"/>
          <w:szCs w:val="24"/>
          <w:highlight w:val="none"/>
        </w:rPr>
        <w:t>检测仪器均符合国家有关标准或技术要求，检测前对使用的仪器均进行流量校准，按规定对采样器进行现场检漏，采样严格按照《大气污染物无组织排放监测技术导则》HJ</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T</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55-2000进行。</w:t>
      </w:r>
    </w:p>
    <w:p w14:paraId="3BCDDD08">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default" w:ascii="Times New Roman" w:hAnsi="Times New Roman" w:eastAsia="宋体" w:cs="Times New Roman"/>
          <w:sz w:val="24"/>
          <w:szCs w:val="24"/>
          <w:highlight w:val="none"/>
        </w:rPr>
      </w:pPr>
      <w:r>
        <w:rPr>
          <w:rFonts w:hint="eastAsia"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sz w:val="24"/>
          <w:szCs w:val="24"/>
          <w:highlight w:val="none"/>
        </w:rPr>
        <w:t>、水质检测</w:t>
      </w:r>
    </w:p>
    <w:p w14:paraId="04F8198B">
      <w:pPr>
        <w:keepNext w:val="0"/>
        <w:keepLines w:val="0"/>
        <w:pageBreakBefore w:val="0"/>
        <w:widowControl w:val="0"/>
        <w:kinsoku/>
        <w:wordWrap/>
        <w:overflowPunct/>
        <w:topLinePunct w:val="0"/>
        <w:autoSpaceDE/>
        <w:autoSpaceDN/>
        <w:bidi w:val="0"/>
        <w:adjustRightInd/>
        <w:snapToGrid w:val="0"/>
        <w:spacing w:line="480" w:lineRule="exact"/>
        <w:ind w:firstLine="476" w:firstLineChars="200"/>
        <w:textAlignment w:val="auto"/>
        <w:rPr>
          <w:rFonts w:hint="default" w:ascii="Times New Roman" w:hAnsi="Times New Roman" w:eastAsia="宋体" w:cs="Times New Roman"/>
          <w:spacing w:val="-1"/>
          <w:sz w:val="24"/>
          <w:szCs w:val="24"/>
          <w:highlight w:val="none"/>
        </w:rPr>
      </w:pPr>
      <w:r>
        <w:rPr>
          <w:rFonts w:hint="default" w:ascii="Times New Roman" w:hAnsi="Times New Roman" w:eastAsia="宋体" w:cs="Times New Roman"/>
          <w:spacing w:val="-1"/>
          <w:sz w:val="24"/>
          <w:szCs w:val="24"/>
          <w:highlight w:val="none"/>
        </w:rPr>
        <w:t>水质检测仪器符合国家有关标准或技术要求。采样、运输、保存、分析全过程严格按</w:t>
      </w:r>
      <w:r>
        <w:rPr>
          <w:rFonts w:hint="default" w:ascii="Times New Roman" w:hAnsi="Times New Roman" w:eastAsia="宋体" w:cs="Times New Roman"/>
          <w:spacing w:val="-1"/>
          <w:sz w:val="24"/>
          <w:szCs w:val="24"/>
          <w:highlight w:val="none"/>
          <w:lang w:val="en-US" w:eastAsia="zh-CN"/>
        </w:rPr>
        <w:t>照《污水监测技术规范》HJ 91.1-2019规定进</w:t>
      </w:r>
      <w:r>
        <w:rPr>
          <w:rFonts w:hint="default" w:ascii="Times New Roman" w:hAnsi="Times New Roman" w:eastAsia="宋体" w:cs="Times New Roman"/>
          <w:spacing w:val="-1"/>
          <w:sz w:val="24"/>
          <w:szCs w:val="24"/>
          <w:highlight w:val="none"/>
        </w:rPr>
        <w:t>行。水样采集10%平行样，所有项目均采用平行样</w:t>
      </w:r>
      <w:r>
        <w:rPr>
          <w:rFonts w:hint="eastAsia" w:ascii="Times New Roman" w:hAnsi="Times New Roman" w:eastAsia="宋体" w:cs="Times New Roman"/>
          <w:spacing w:val="-1"/>
          <w:sz w:val="24"/>
          <w:szCs w:val="24"/>
          <w:highlight w:val="none"/>
          <w:lang w:val="en-US" w:eastAsia="zh-CN"/>
        </w:rPr>
        <w:t>或加标回收或质控样</w:t>
      </w:r>
      <w:r>
        <w:rPr>
          <w:rFonts w:hint="default" w:ascii="Times New Roman" w:hAnsi="Times New Roman" w:eastAsia="宋体" w:cs="Times New Roman"/>
          <w:spacing w:val="-1"/>
          <w:sz w:val="24"/>
          <w:szCs w:val="24"/>
          <w:highlight w:val="none"/>
        </w:rPr>
        <w:t>分析控制样品精密度。</w:t>
      </w:r>
    </w:p>
    <w:p w14:paraId="2D7509EF">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outlineLvl w:val="9"/>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4</w:t>
      </w:r>
      <w:r>
        <w:rPr>
          <w:rFonts w:hint="default" w:ascii="Times New Roman" w:hAnsi="Times New Roman" w:eastAsia="宋体" w:cs="Times New Roman"/>
          <w:sz w:val="24"/>
          <w:szCs w:val="24"/>
          <w:highlight w:val="none"/>
        </w:rPr>
        <w:t>、噪声检测</w:t>
      </w:r>
    </w:p>
    <w:p w14:paraId="0D1E36E9">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outlineLvl w:val="9"/>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噪声</w:t>
      </w:r>
      <w:r>
        <w:rPr>
          <w:rFonts w:hint="eastAsia" w:ascii="Times New Roman" w:hAnsi="Times New Roman" w:eastAsia="宋体" w:cs="Times New Roman"/>
          <w:sz w:val="24"/>
          <w:szCs w:val="24"/>
          <w:highlight w:val="none"/>
          <w:lang w:val="en-US" w:eastAsia="zh-CN"/>
        </w:rPr>
        <w:t>测量</w:t>
      </w:r>
      <w:r>
        <w:rPr>
          <w:rFonts w:hint="default" w:ascii="Times New Roman" w:hAnsi="Times New Roman" w:eastAsia="宋体" w:cs="Times New Roman"/>
          <w:sz w:val="24"/>
          <w:szCs w:val="24"/>
          <w:highlight w:val="none"/>
        </w:rPr>
        <w:t>过程符合《工业企业厂界环境噪声排放标准》GB 12348-2008</w:t>
      </w:r>
      <w:r>
        <w:rPr>
          <w:rFonts w:hint="eastAsia"/>
          <w:sz w:val="24"/>
          <w:szCs w:val="24"/>
          <w:highlight w:val="none"/>
          <w:lang w:eastAsia="zh-CN"/>
        </w:rPr>
        <w:t>、</w:t>
      </w:r>
      <w:r>
        <w:rPr>
          <w:rFonts w:hint="eastAsia" w:ascii="Times New Roman" w:hAnsi="Times New Roman" w:eastAsia="宋体" w:cs="Times New Roman"/>
          <w:sz w:val="24"/>
          <w:szCs w:val="24"/>
          <w:highlight w:val="none"/>
          <w:lang w:val="en-US" w:eastAsia="zh-CN"/>
        </w:rPr>
        <w:t>《声环境质量标准》GB3096-2008</w:t>
      </w:r>
      <w:r>
        <w:rPr>
          <w:rFonts w:hint="default" w:ascii="Times New Roman" w:hAnsi="Times New Roman" w:eastAsia="宋体" w:cs="Times New Roman"/>
          <w:sz w:val="24"/>
          <w:szCs w:val="24"/>
          <w:highlight w:val="none"/>
        </w:rPr>
        <w:t>中测量方法要求，声级计测量前后均进行了校准，</w:t>
      </w:r>
      <w:r>
        <w:rPr>
          <w:rFonts w:hint="eastAsia" w:ascii="Times New Roman" w:hAnsi="Times New Roman" w:eastAsia="宋体" w:cs="Times New Roman"/>
          <w:sz w:val="24"/>
          <w:szCs w:val="24"/>
          <w:highlight w:val="none"/>
          <w:lang w:val="en-US" w:eastAsia="zh-CN"/>
        </w:rPr>
        <w:t>声校准器94dB，测量前、后</w:t>
      </w:r>
      <w:r>
        <w:rPr>
          <w:rFonts w:hint="default" w:ascii="Times New Roman" w:hAnsi="Times New Roman" w:eastAsia="宋体" w:cs="Times New Roman"/>
          <w:sz w:val="24"/>
          <w:szCs w:val="24"/>
          <w:highlight w:val="none"/>
        </w:rPr>
        <w:t>校准</w:t>
      </w:r>
      <w:r>
        <w:rPr>
          <w:rFonts w:hint="eastAsia" w:ascii="Times New Roman" w:hAnsi="Times New Roman" w:eastAsia="宋体" w:cs="Times New Roman"/>
          <w:sz w:val="24"/>
          <w:szCs w:val="24"/>
          <w:highlight w:val="none"/>
          <w:lang w:val="en-US" w:eastAsia="zh-CN"/>
        </w:rPr>
        <w:t>结果示值偏差不大于0.5dB</w:t>
      </w: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lang w:val="en-US" w:eastAsia="zh-CN"/>
        </w:rPr>
        <w:t>测量结果</w:t>
      </w:r>
      <w:r>
        <w:rPr>
          <w:rFonts w:hint="default" w:ascii="Times New Roman" w:hAnsi="Times New Roman" w:eastAsia="宋体" w:cs="Times New Roman"/>
          <w:sz w:val="24"/>
          <w:szCs w:val="24"/>
          <w:highlight w:val="none"/>
        </w:rPr>
        <w:t>有效。</w:t>
      </w:r>
    </w:p>
    <w:p w14:paraId="67A32FB4">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outlineLvl w:val="9"/>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仪器校准结果：</w:t>
      </w:r>
    </w:p>
    <w:p w14:paraId="75384F56">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outlineLvl w:val="9"/>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2026年03月23日</w:t>
      </w:r>
    </w:p>
    <w:p w14:paraId="6926DB7F">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outlineLvl w:val="9"/>
        <w:rPr>
          <w:rFonts w:hint="eastAsia" w:ascii="Times New Roman" w:hAnsi="Times New Roman" w:eastAsia="宋体" w:cs="Times New Roman"/>
          <w:sz w:val="24"/>
          <w:szCs w:val="24"/>
          <w:highlight w:val="none"/>
          <w:u w:val="none"/>
          <w:lang w:val="en-US" w:eastAsia="zh-CN"/>
        </w:rPr>
      </w:pPr>
      <w:r>
        <w:rPr>
          <w:rFonts w:hint="eastAsia" w:ascii="Times New Roman" w:hAnsi="Times New Roman" w:eastAsia="宋体" w:cs="Times New Roman"/>
          <w:sz w:val="24"/>
          <w:szCs w:val="24"/>
          <w:highlight w:val="none"/>
          <w:lang w:val="en-US" w:eastAsia="zh-CN"/>
        </w:rPr>
        <w:t>昼间：测前</w:t>
      </w:r>
      <w:r>
        <w:rPr>
          <w:rFonts w:hint="eastAsia" w:ascii="Times New Roman" w:hAnsi="Times New Roman" w:eastAsia="宋体" w:cs="Times New Roman"/>
          <w:sz w:val="24"/>
          <w:szCs w:val="24"/>
          <w:highlight w:val="none"/>
          <w:u w:val="single"/>
          <w:lang w:val="en-US" w:eastAsia="zh-CN"/>
        </w:rPr>
        <w:t xml:space="preserve"> 93.8 </w:t>
      </w:r>
      <w:r>
        <w:rPr>
          <w:rFonts w:hint="eastAsia" w:ascii="Times New Roman" w:hAnsi="Times New Roman" w:eastAsia="宋体" w:cs="Times New Roman"/>
          <w:sz w:val="24"/>
          <w:szCs w:val="24"/>
          <w:highlight w:val="none"/>
          <w:u w:val="none"/>
          <w:lang w:val="en-US" w:eastAsia="zh-CN"/>
        </w:rPr>
        <w:t>dB（A）</w:t>
      </w:r>
      <w:r>
        <w:rPr>
          <w:rFonts w:hint="eastAsia" w:ascii="Times New Roman" w:hAnsi="Times New Roman" w:eastAsia="宋体" w:cs="Times New Roman"/>
          <w:color w:val="auto"/>
          <w:sz w:val="24"/>
          <w:szCs w:val="24"/>
          <w:highlight w:val="none"/>
          <w:u w:val="none"/>
          <w:lang w:val="en-US" w:eastAsia="zh-CN"/>
        </w:rPr>
        <w:t>，测后</w:t>
      </w:r>
      <w:r>
        <w:rPr>
          <w:rFonts w:hint="eastAsia" w:ascii="Times New Roman" w:hAnsi="Times New Roman" w:eastAsia="宋体" w:cs="Times New Roman"/>
          <w:color w:val="auto"/>
          <w:sz w:val="24"/>
          <w:szCs w:val="24"/>
          <w:highlight w:val="none"/>
          <w:u w:val="single"/>
          <w:lang w:val="en-US" w:eastAsia="zh-CN"/>
        </w:rPr>
        <w:t xml:space="preserve"> 93.6</w:t>
      </w:r>
      <w:r>
        <w:rPr>
          <w:rFonts w:hint="eastAsia" w:ascii="Times New Roman" w:hAnsi="Times New Roman" w:eastAsia="宋体" w:cs="Times New Roman"/>
          <w:color w:val="auto"/>
          <w:sz w:val="24"/>
          <w:szCs w:val="24"/>
          <w:highlight w:val="none"/>
          <w:u w:val="none"/>
          <w:lang w:val="en-US" w:eastAsia="zh-CN"/>
        </w:rPr>
        <w:t>dB（A）</w:t>
      </w:r>
      <w:r>
        <w:rPr>
          <w:rFonts w:hint="eastAsia" w:ascii="Times New Roman" w:hAnsi="Times New Roman" w:eastAsia="宋体" w:cs="Times New Roman"/>
          <w:sz w:val="24"/>
          <w:szCs w:val="24"/>
          <w:highlight w:val="none"/>
          <w:u w:val="none"/>
          <w:lang w:val="en-US" w:eastAsia="zh-CN"/>
        </w:rPr>
        <w:t>。</w:t>
      </w:r>
    </w:p>
    <w:p w14:paraId="638A5B08">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outlineLvl w:val="9"/>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2026年03月24日</w:t>
      </w:r>
    </w:p>
    <w:p w14:paraId="58399666">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outlineLvl w:val="9"/>
        <w:rPr>
          <w:rFonts w:hint="eastAsia" w:ascii="Times New Roman" w:hAnsi="Times New Roman" w:eastAsia="宋体" w:cs="Times New Roman"/>
          <w:sz w:val="24"/>
          <w:szCs w:val="24"/>
          <w:highlight w:val="none"/>
          <w:u w:val="none"/>
          <w:lang w:val="en-US" w:eastAsia="zh-CN"/>
        </w:rPr>
      </w:pPr>
      <w:r>
        <w:rPr>
          <w:rFonts w:hint="eastAsia" w:ascii="Times New Roman" w:hAnsi="Times New Roman" w:eastAsia="宋体" w:cs="Times New Roman"/>
          <w:sz w:val="24"/>
          <w:szCs w:val="24"/>
          <w:highlight w:val="none"/>
          <w:lang w:val="en-US" w:eastAsia="zh-CN"/>
        </w:rPr>
        <w:t>昼间：测前</w:t>
      </w:r>
      <w:r>
        <w:rPr>
          <w:rFonts w:hint="eastAsia" w:ascii="Times New Roman" w:hAnsi="Times New Roman" w:eastAsia="宋体" w:cs="Times New Roman"/>
          <w:sz w:val="24"/>
          <w:szCs w:val="24"/>
          <w:highlight w:val="none"/>
          <w:u w:val="single"/>
          <w:lang w:val="en-US" w:eastAsia="zh-CN"/>
        </w:rPr>
        <w:t xml:space="preserve"> 93.6 </w:t>
      </w:r>
      <w:r>
        <w:rPr>
          <w:rFonts w:hint="eastAsia" w:ascii="Times New Roman" w:hAnsi="Times New Roman" w:eastAsia="宋体" w:cs="Times New Roman"/>
          <w:sz w:val="24"/>
          <w:szCs w:val="24"/>
          <w:highlight w:val="none"/>
          <w:u w:val="none"/>
          <w:lang w:val="en-US" w:eastAsia="zh-CN"/>
        </w:rPr>
        <w:t>dB（A）</w:t>
      </w:r>
      <w:r>
        <w:rPr>
          <w:rFonts w:hint="eastAsia" w:ascii="Times New Roman" w:hAnsi="Times New Roman" w:eastAsia="宋体" w:cs="Times New Roman"/>
          <w:color w:val="auto"/>
          <w:sz w:val="24"/>
          <w:szCs w:val="24"/>
          <w:highlight w:val="none"/>
          <w:u w:val="none"/>
          <w:lang w:val="en-US" w:eastAsia="zh-CN"/>
        </w:rPr>
        <w:t>，测后</w:t>
      </w:r>
      <w:r>
        <w:rPr>
          <w:rFonts w:hint="eastAsia" w:ascii="Times New Roman" w:hAnsi="Times New Roman" w:eastAsia="宋体" w:cs="Times New Roman"/>
          <w:color w:val="auto"/>
          <w:sz w:val="24"/>
          <w:szCs w:val="24"/>
          <w:highlight w:val="none"/>
          <w:u w:val="single"/>
          <w:lang w:val="en-US" w:eastAsia="zh-CN"/>
        </w:rPr>
        <w:t xml:space="preserve"> 93.8</w:t>
      </w:r>
      <w:r>
        <w:rPr>
          <w:rFonts w:hint="eastAsia" w:ascii="Times New Roman" w:hAnsi="Times New Roman" w:eastAsia="宋体" w:cs="Times New Roman"/>
          <w:color w:val="auto"/>
          <w:sz w:val="24"/>
          <w:szCs w:val="24"/>
          <w:highlight w:val="none"/>
          <w:u w:val="none"/>
          <w:lang w:val="en-US" w:eastAsia="zh-CN"/>
        </w:rPr>
        <w:t>dB（A）</w:t>
      </w:r>
      <w:r>
        <w:rPr>
          <w:rFonts w:hint="eastAsia" w:ascii="Times New Roman" w:hAnsi="Times New Roman" w:eastAsia="宋体" w:cs="Times New Roman"/>
          <w:sz w:val="24"/>
          <w:szCs w:val="24"/>
          <w:highlight w:val="none"/>
          <w:u w:val="none"/>
          <w:lang w:val="en-US" w:eastAsia="zh-CN"/>
        </w:rPr>
        <w:t>。</w:t>
      </w:r>
    </w:p>
    <w:p w14:paraId="75058671">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eastAsia="zh-CN"/>
        </w:rPr>
        <w:t>、检测分析方法</w:t>
      </w:r>
    </w:p>
    <w:p w14:paraId="31426052">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采用国家颁布标准（或推荐）分析方法，检测人员经考核合格并持证上岗，所有检测仪器经检定合格并在有效期内</w:t>
      </w:r>
      <w:r>
        <w:rPr>
          <w:rFonts w:hint="eastAsia" w:ascii="Times New Roman" w:hAnsi="Times New Roman" w:eastAsia="宋体" w:cs="Times New Roman"/>
          <w:color w:val="auto"/>
          <w:sz w:val="24"/>
          <w:szCs w:val="24"/>
          <w:highlight w:val="none"/>
        </w:rPr>
        <w:t>，所有设备均为我公司自有，无租用、借用设备。</w:t>
      </w:r>
    </w:p>
    <w:p w14:paraId="57CAC33B">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、检测数据</w:t>
      </w:r>
    </w:p>
    <w:p w14:paraId="563D4508">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color w:val="auto"/>
          <w:sz w:val="24"/>
          <w:szCs w:val="24"/>
          <w:highlight w:val="none"/>
        </w:rPr>
        <w:t>严格实行三级审核制度。</w:t>
      </w:r>
    </w:p>
    <w:p w14:paraId="3E48A2A7">
      <w:pPr>
        <w:pStyle w:val="9"/>
        <w:keepNext w:val="0"/>
        <w:keepLines w:val="0"/>
        <w:pageBreakBefore w:val="0"/>
        <w:widowControl w:val="0"/>
        <w:kinsoku/>
        <w:wordWrap/>
        <w:overflowPunct/>
        <w:topLinePunct w:val="0"/>
        <w:autoSpaceDE/>
        <w:autoSpaceDN/>
        <w:bidi w:val="0"/>
        <w:adjustRightInd/>
        <w:spacing w:line="480" w:lineRule="exact"/>
        <w:textAlignment w:val="auto"/>
        <w:rPr>
          <w:sz w:val="24"/>
          <w:szCs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6A020A98">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35" w:name="_Toc6537"/>
      <w:r>
        <w:rPr>
          <w:rFonts w:hint="default" w:ascii="Times New Roman" w:hAnsi="Times New Roman" w:eastAsia="宋体" w:cs="Times New Roman"/>
          <w:color w:val="000000" w:themeColor="text1"/>
          <w:highlight w:val="none"/>
          <w14:textFill>
            <w14:solidFill>
              <w14:schemeClr w14:val="tx1"/>
            </w14:solidFill>
          </w14:textFill>
        </w:rPr>
        <w:t>9验收监测结果</w:t>
      </w:r>
      <w:bookmarkEnd w:id="35"/>
    </w:p>
    <w:p w14:paraId="22E9DC5A">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36" w:name="_Toc11517"/>
      <w:r>
        <w:rPr>
          <w:rFonts w:hint="default" w:ascii="Times New Roman" w:hAnsi="Times New Roman" w:eastAsia="宋体" w:cs="Times New Roman"/>
          <w:color w:val="000000" w:themeColor="text1"/>
          <w:highlight w:val="none"/>
          <w14:textFill>
            <w14:solidFill>
              <w14:schemeClr w14:val="tx1"/>
            </w14:solidFill>
          </w14:textFill>
        </w:rPr>
        <w:t>9.1生产工况</w:t>
      </w:r>
      <w:bookmarkEnd w:id="36"/>
    </w:p>
    <w:p w14:paraId="6A54FD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highlight w:val="none"/>
        </w:rPr>
      </w:pPr>
      <w:bookmarkStart w:id="42" w:name="_GoBack"/>
      <w:r>
        <w:rPr>
          <w:rFonts w:hint="eastAsia" w:ascii="Times New Roman" w:hAnsi="Times New Roman" w:eastAsia="宋体" w:cs="Times New Roman"/>
          <w:color w:val="auto"/>
          <w:sz w:val="24"/>
          <w:szCs w:val="24"/>
          <w:highlight w:val="none"/>
          <w:lang w:val="en-US" w:eastAsia="zh-CN"/>
        </w:rPr>
        <w:t>唐山市康泰科技有限公司</w:t>
      </w:r>
      <w:r>
        <w:rPr>
          <w:rFonts w:hint="default" w:ascii="Times New Roman" w:hAnsi="Times New Roman" w:eastAsia="宋体" w:cs="Times New Roman"/>
          <w:color w:val="auto"/>
          <w:sz w:val="24"/>
          <w:szCs w:val="24"/>
          <w:highlight w:val="none"/>
          <w:lang w:val="en-US" w:eastAsia="zh-CN"/>
        </w:rPr>
        <w:t>委托</w:t>
      </w:r>
      <w:r>
        <w:rPr>
          <w:rFonts w:hint="default" w:ascii="Times New Roman" w:hAnsi="Times New Roman" w:cs="Times New Roman" w:eastAsiaTheme="minorEastAsia"/>
          <w:color w:val="auto"/>
          <w:sz w:val="24"/>
          <w:szCs w:val="24"/>
          <w:highlight w:val="none"/>
          <w:lang w:val="en-US" w:eastAsia="zh-CN"/>
        </w:rPr>
        <w:t>唐山一方检测技术有限公司</w:t>
      </w:r>
      <w:r>
        <w:rPr>
          <w:rFonts w:hint="default" w:ascii="Times New Roman" w:hAnsi="Times New Roman" w:eastAsia="宋体" w:cs="Times New Roman"/>
          <w:color w:val="auto"/>
          <w:sz w:val="24"/>
          <w:szCs w:val="24"/>
          <w:highlight w:val="none"/>
          <w:lang w:val="en-US" w:eastAsia="zh-CN"/>
        </w:rPr>
        <w:t>于202</w:t>
      </w:r>
      <w:r>
        <w:rPr>
          <w:rFonts w:hint="eastAsia"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lang w:val="en-US" w:eastAsia="zh-CN"/>
        </w:rPr>
        <w:t>年</w:t>
      </w:r>
      <w:r>
        <w:rPr>
          <w:rFonts w:hint="eastAsia" w:ascii="Times New Roman" w:hAnsi="Times New Roman" w:eastAsia="宋体" w:cs="Times New Roman"/>
          <w:color w:val="auto"/>
          <w:sz w:val="24"/>
          <w:szCs w:val="24"/>
          <w:highlight w:val="none"/>
          <w:lang w:val="en-US" w:eastAsia="zh-CN"/>
        </w:rPr>
        <w:t>03</w:t>
      </w:r>
      <w:r>
        <w:rPr>
          <w:rFonts w:hint="default" w:ascii="Times New Roman" w:hAnsi="Times New Roman" w:eastAsia="宋体" w:cs="Times New Roman"/>
          <w:color w:val="auto"/>
          <w:sz w:val="24"/>
          <w:szCs w:val="24"/>
          <w:highlight w:val="none"/>
          <w:lang w:val="en-US" w:eastAsia="zh-CN"/>
        </w:rPr>
        <w:t>月</w:t>
      </w:r>
      <w:r>
        <w:rPr>
          <w:rFonts w:hint="eastAsia" w:ascii="Times New Roman" w:hAnsi="Times New Roman" w:eastAsia="宋体" w:cs="Times New Roman"/>
          <w:color w:val="auto"/>
          <w:sz w:val="24"/>
          <w:szCs w:val="24"/>
          <w:highlight w:val="none"/>
          <w:lang w:val="en-US" w:eastAsia="zh-CN"/>
        </w:rPr>
        <w:t>23</w:t>
      </w:r>
      <w:r>
        <w:rPr>
          <w:rFonts w:hint="default" w:ascii="Times New Roman" w:hAnsi="Times New Roman" w:eastAsia="宋体" w:cs="Times New Roman"/>
          <w:color w:val="auto"/>
          <w:sz w:val="24"/>
          <w:szCs w:val="24"/>
          <w:highlight w:val="none"/>
          <w:lang w:val="en-US" w:eastAsia="zh-CN"/>
        </w:rPr>
        <w:t>日至</w:t>
      </w:r>
      <w:r>
        <w:rPr>
          <w:rFonts w:hint="eastAsia" w:ascii="Times New Roman" w:hAnsi="Times New Roman" w:eastAsia="宋体" w:cs="Times New Roman"/>
          <w:color w:val="auto"/>
          <w:sz w:val="24"/>
          <w:szCs w:val="24"/>
          <w:highlight w:val="none"/>
          <w:lang w:val="en-US" w:eastAsia="zh-CN"/>
        </w:rPr>
        <w:t>03</w:t>
      </w:r>
      <w:r>
        <w:rPr>
          <w:rFonts w:hint="default" w:ascii="Times New Roman" w:hAnsi="Times New Roman" w:eastAsia="宋体" w:cs="Times New Roman"/>
          <w:color w:val="auto"/>
          <w:sz w:val="24"/>
          <w:szCs w:val="24"/>
          <w:highlight w:val="none"/>
          <w:lang w:val="en-US" w:eastAsia="zh-CN"/>
        </w:rPr>
        <w:t>月</w:t>
      </w:r>
      <w:r>
        <w:rPr>
          <w:rFonts w:hint="eastAsia" w:ascii="Times New Roman" w:hAnsi="Times New Roman" w:eastAsia="宋体" w:cs="Times New Roman"/>
          <w:color w:val="auto"/>
          <w:sz w:val="24"/>
          <w:szCs w:val="24"/>
          <w:highlight w:val="none"/>
          <w:lang w:val="en-US" w:eastAsia="zh-CN"/>
        </w:rPr>
        <w:t>24</w:t>
      </w:r>
      <w:r>
        <w:rPr>
          <w:rFonts w:hint="default" w:ascii="Times New Roman" w:hAnsi="Times New Roman" w:eastAsia="宋体" w:cs="Times New Roman"/>
          <w:color w:val="auto"/>
          <w:sz w:val="24"/>
          <w:szCs w:val="24"/>
          <w:highlight w:val="none"/>
          <w:lang w:val="en-US" w:eastAsia="zh-CN"/>
        </w:rPr>
        <w:t>日进行了竣工验收检测并出具了检测报告</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highlight w:val="none"/>
        </w:rPr>
        <w:t>监测期间企业</w:t>
      </w:r>
      <w:r>
        <w:rPr>
          <w:rFonts w:hint="default" w:ascii="Times New Roman" w:hAnsi="Times New Roman" w:eastAsia="宋体" w:cs="Times New Roman"/>
          <w:color w:val="auto"/>
          <w:sz w:val="24"/>
          <w:highlight w:val="none"/>
          <w:lang w:val="en-US" w:eastAsia="zh-CN"/>
        </w:rPr>
        <w:t>正常生产</w:t>
      </w:r>
      <w:r>
        <w:rPr>
          <w:rFonts w:hint="default" w:ascii="Times New Roman" w:hAnsi="Times New Roman" w:eastAsia="宋体" w:cs="Times New Roman"/>
          <w:color w:val="auto"/>
          <w:sz w:val="24"/>
          <w:highlight w:val="none"/>
        </w:rPr>
        <w:t>，满足环保验收检测技术要求。</w:t>
      </w:r>
    </w:p>
    <w:bookmarkEnd w:id="42"/>
    <w:p w14:paraId="40D8EAA2">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37" w:name="_Toc24159"/>
      <w:r>
        <w:rPr>
          <w:rFonts w:hint="default" w:ascii="Times New Roman" w:hAnsi="Times New Roman" w:eastAsia="宋体" w:cs="Times New Roman"/>
          <w:color w:val="000000" w:themeColor="text1"/>
          <w:highlight w:val="none"/>
          <w14:textFill>
            <w14:solidFill>
              <w14:schemeClr w14:val="tx1"/>
            </w14:solidFill>
          </w14:textFill>
        </w:rPr>
        <w:t>9.2环保设施调试运行效果</w:t>
      </w:r>
      <w:bookmarkEnd w:id="37"/>
    </w:p>
    <w:p w14:paraId="517EAB49">
      <w:pPr>
        <w:pStyle w:val="6"/>
        <w:keepNext w:val="0"/>
        <w:keepLines w:val="0"/>
        <w:pageBreakBefore w:val="0"/>
        <w:widowControl w:val="0"/>
        <w:kinsoku/>
        <w:wordWrap/>
        <w:overflowPunct/>
        <w:topLinePunct w:val="0"/>
        <w:autoSpaceDE/>
        <w:autoSpaceDN/>
        <w:bidi w:val="0"/>
        <w:adjustRightInd/>
        <w:snapToGrid/>
        <w:spacing w:line="360" w:lineRule="auto"/>
        <w:ind w:firstLine="281" w:firstLineChars="100"/>
        <w:textAlignment w:val="auto"/>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b/>
          <w:color w:val="000000" w:themeColor="text1"/>
          <w:kern w:val="2"/>
          <w:sz w:val="28"/>
          <w:szCs w:val="28"/>
          <w:highlight w:val="none"/>
          <w:lang w:val="en-US" w:eastAsia="zh-CN" w:bidi="ar-SA"/>
          <w14:textFill>
            <w14:solidFill>
              <w14:schemeClr w14:val="tx1"/>
            </w14:solidFill>
          </w14:textFill>
        </w:rPr>
        <w:t>9.2.</w:t>
      </w:r>
      <w:r>
        <w:rPr>
          <w:rFonts w:hint="eastAsia" w:ascii="Times New Roman" w:hAnsi="Times New Roman" w:eastAsia="宋体" w:cs="Times New Roman"/>
          <w:b/>
          <w:color w:val="000000" w:themeColor="text1"/>
          <w:kern w:val="2"/>
          <w:sz w:val="28"/>
          <w:szCs w:val="28"/>
          <w:highlight w:val="none"/>
          <w:lang w:val="en-US" w:eastAsia="zh-CN" w:bidi="ar-SA"/>
          <w14:textFill>
            <w14:solidFill>
              <w14:schemeClr w14:val="tx1"/>
            </w14:solidFill>
          </w14:textFill>
        </w:rPr>
        <w:t>1</w:t>
      </w:r>
      <w:r>
        <w:rPr>
          <w:rFonts w:hint="default" w:ascii="Times New Roman" w:hAnsi="Times New Roman" w:eastAsia="宋体" w:cs="Times New Roman"/>
          <w:b/>
          <w:color w:val="000000" w:themeColor="text1"/>
          <w:kern w:val="2"/>
          <w:sz w:val="28"/>
          <w:szCs w:val="28"/>
          <w:highlight w:val="none"/>
          <w:lang w:val="en-US" w:eastAsia="zh-CN" w:bidi="ar-SA"/>
          <w14:textFill>
            <w14:solidFill>
              <w14:schemeClr w14:val="tx1"/>
            </w14:solidFill>
          </w14:textFill>
        </w:rPr>
        <w:t>废</w:t>
      </w:r>
      <w:r>
        <w:rPr>
          <w:rFonts w:hint="eastAsia" w:ascii="Times New Roman" w:hAnsi="Times New Roman" w:eastAsia="宋体" w:cs="Times New Roman"/>
          <w:b/>
          <w:color w:val="000000" w:themeColor="text1"/>
          <w:kern w:val="2"/>
          <w:sz w:val="28"/>
          <w:szCs w:val="28"/>
          <w:highlight w:val="none"/>
          <w:lang w:val="en-US" w:eastAsia="zh-CN" w:bidi="ar-SA"/>
          <w14:textFill>
            <w14:solidFill>
              <w14:schemeClr w14:val="tx1"/>
            </w14:solidFill>
          </w14:textFill>
        </w:rPr>
        <w:t>水</w:t>
      </w:r>
      <w:r>
        <w:rPr>
          <w:rFonts w:hint="default" w:ascii="Times New Roman" w:hAnsi="Times New Roman" w:eastAsia="宋体" w:cs="Times New Roman"/>
          <w:b/>
          <w:color w:val="000000" w:themeColor="text1"/>
          <w:kern w:val="2"/>
          <w:sz w:val="28"/>
          <w:szCs w:val="28"/>
          <w:highlight w:val="none"/>
          <w:lang w:val="en-US" w:eastAsia="zh-CN" w:bidi="ar-SA"/>
          <w14:textFill>
            <w14:solidFill>
              <w14:schemeClr w14:val="tx1"/>
            </w14:solidFill>
          </w14:textFill>
        </w:rPr>
        <w:t>治理设施</w:t>
      </w:r>
    </w:p>
    <w:p w14:paraId="4A08257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color w:val="000000" w:themeColor="text1"/>
          <w:sz w:val="24"/>
          <w:szCs w:val="24"/>
          <w:highlight w:val="none"/>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表9-</w:t>
      </w:r>
      <w:r>
        <w:rPr>
          <w:rFonts w:hint="eastAsia" w:ascii="Times New Roman" w:hAnsi="Times New Roman" w:eastAsia="宋体" w:cs="Times New Roman"/>
          <w:b/>
          <w:color w:val="000000" w:themeColor="text1"/>
          <w:sz w:val="24"/>
          <w:szCs w:val="24"/>
          <w:highlight w:val="none"/>
          <w:lang w:val="en-US" w:eastAsia="zh-CN"/>
          <w14:textFill>
            <w14:solidFill>
              <w14:schemeClr w14:val="tx1"/>
            </w14:solidFill>
          </w14:textFill>
        </w:rPr>
        <w:t xml:space="preserve">1 </w:t>
      </w:r>
      <w:r>
        <w:rPr>
          <w:rFonts w:hint="default" w:ascii="Times New Roman" w:hAnsi="Times New Roman" w:eastAsia="宋体" w:cs="Times New Roman"/>
          <w:b/>
          <w:color w:val="000000" w:themeColor="text1"/>
          <w:sz w:val="24"/>
          <w:szCs w:val="24"/>
          <w:highlight w:val="none"/>
          <w14:textFill>
            <w14:solidFill>
              <w14:schemeClr w14:val="tx1"/>
            </w14:solidFill>
          </w14:textFill>
        </w:rPr>
        <w:t>项目</w:t>
      </w:r>
      <w:r>
        <w:rPr>
          <w:rFonts w:hint="eastAsia" w:ascii="Times New Roman" w:hAnsi="Times New Roman" w:eastAsia="宋体" w:cs="Times New Roman"/>
          <w:b/>
          <w:color w:val="000000" w:themeColor="text1"/>
          <w:sz w:val="24"/>
          <w:szCs w:val="24"/>
          <w:highlight w:val="none"/>
          <w:lang w:val="en-US" w:eastAsia="zh-CN"/>
          <w14:textFill>
            <w14:solidFill>
              <w14:schemeClr w14:val="tx1"/>
            </w14:solidFill>
          </w14:textFill>
        </w:rPr>
        <w:t>废水</w:t>
      </w:r>
      <w:r>
        <w:rPr>
          <w:rFonts w:hint="default" w:ascii="Times New Roman" w:hAnsi="Times New Roman" w:eastAsia="宋体" w:cs="Times New Roman"/>
          <w:b/>
          <w:color w:val="000000" w:themeColor="text1"/>
          <w:sz w:val="24"/>
          <w:szCs w:val="24"/>
          <w:highlight w:val="none"/>
          <w14:textFill>
            <w14:solidFill>
              <w14:schemeClr w14:val="tx1"/>
            </w14:solidFill>
          </w14:textFill>
        </w:rPr>
        <w:t>监测结果一览表</w:t>
      </w:r>
    </w:p>
    <w:tbl>
      <w:tblPr>
        <w:tblStyle w:val="32"/>
        <w:tblW w:w="88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885"/>
        <w:gridCol w:w="806"/>
        <w:gridCol w:w="1227"/>
        <w:gridCol w:w="716"/>
        <w:gridCol w:w="850"/>
        <w:gridCol w:w="901"/>
        <w:gridCol w:w="855"/>
        <w:gridCol w:w="794"/>
        <w:gridCol w:w="850"/>
      </w:tblGrid>
      <w:tr w14:paraId="381C2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015" w:type="dxa"/>
            <w:vMerge w:val="restart"/>
            <w:noWrap w:val="0"/>
            <w:vAlign w:val="center"/>
          </w:tcPr>
          <w:p w14:paraId="0857CAF5">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rPr>
              <w:t>检测</w:t>
            </w:r>
            <w:r>
              <w:rPr>
                <w:rFonts w:hint="default" w:ascii="Times New Roman" w:hAnsi="Times New Roman" w:eastAsia="宋体" w:cs="Times New Roman"/>
                <w:kern w:val="0"/>
                <w:szCs w:val="21"/>
                <w:highlight w:val="none"/>
                <w:lang w:val="en-US" w:eastAsia="zh-CN"/>
              </w:rPr>
              <w:t>点位</w:t>
            </w:r>
          </w:p>
        </w:tc>
        <w:tc>
          <w:tcPr>
            <w:tcW w:w="885" w:type="dxa"/>
            <w:vMerge w:val="restart"/>
            <w:noWrap w:val="0"/>
            <w:vAlign w:val="center"/>
          </w:tcPr>
          <w:p w14:paraId="178B97D7">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rPr>
            </w:pPr>
            <w:r>
              <w:rPr>
                <w:rFonts w:hint="default" w:ascii="Times New Roman" w:hAnsi="Times New Roman" w:eastAsia="宋体" w:cs="Times New Roman"/>
                <w:kern w:val="0"/>
                <w:szCs w:val="21"/>
                <w:highlight w:val="none"/>
                <w:lang w:val="en-US" w:eastAsia="zh-CN"/>
              </w:rPr>
              <w:t>采样日期</w:t>
            </w:r>
          </w:p>
        </w:tc>
        <w:tc>
          <w:tcPr>
            <w:tcW w:w="806" w:type="dxa"/>
            <w:vMerge w:val="restart"/>
            <w:noWrap w:val="0"/>
            <w:vAlign w:val="center"/>
          </w:tcPr>
          <w:p w14:paraId="05F21E9C">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样品状态</w:t>
            </w:r>
          </w:p>
        </w:tc>
        <w:tc>
          <w:tcPr>
            <w:tcW w:w="1227" w:type="dxa"/>
            <w:vMerge w:val="restart"/>
            <w:noWrap w:val="0"/>
            <w:vAlign w:val="center"/>
          </w:tcPr>
          <w:p w14:paraId="41E34902">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检测项目</w:t>
            </w:r>
          </w:p>
        </w:tc>
        <w:tc>
          <w:tcPr>
            <w:tcW w:w="716" w:type="dxa"/>
            <w:vMerge w:val="restart"/>
            <w:noWrap w:val="0"/>
            <w:vAlign w:val="center"/>
          </w:tcPr>
          <w:p w14:paraId="53C95670">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单位</w:t>
            </w:r>
          </w:p>
        </w:tc>
        <w:tc>
          <w:tcPr>
            <w:tcW w:w="4250" w:type="dxa"/>
            <w:gridSpan w:val="5"/>
            <w:noWrap w:val="0"/>
            <w:vAlign w:val="center"/>
          </w:tcPr>
          <w:p w14:paraId="48124034">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rPr>
            </w:pPr>
            <w:r>
              <w:rPr>
                <w:rFonts w:hint="default" w:ascii="Times New Roman" w:hAnsi="Times New Roman" w:eastAsia="宋体" w:cs="Times New Roman"/>
                <w:kern w:val="0"/>
                <w:szCs w:val="21"/>
                <w:highlight w:val="none"/>
              </w:rPr>
              <w:t>检测</w:t>
            </w:r>
            <w:r>
              <w:rPr>
                <w:rFonts w:hint="default" w:ascii="Times New Roman" w:hAnsi="Times New Roman" w:eastAsia="宋体" w:cs="Times New Roman"/>
                <w:kern w:val="0"/>
                <w:szCs w:val="21"/>
                <w:highlight w:val="none"/>
                <w:lang w:val="en-US" w:eastAsia="zh-CN"/>
              </w:rPr>
              <w:t>结果</w:t>
            </w:r>
          </w:p>
        </w:tc>
      </w:tr>
      <w:tr w14:paraId="4E1A9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15" w:type="dxa"/>
            <w:vMerge w:val="continue"/>
            <w:noWrap w:val="0"/>
            <w:vAlign w:val="center"/>
          </w:tcPr>
          <w:p w14:paraId="33243A85">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p>
        </w:tc>
        <w:tc>
          <w:tcPr>
            <w:tcW w:w="885" w:type="dxa"/>
            <w:vMerge w:val="continue"/>
            <w:noWrap w:val="0"/>
            <w:vAlign w:val="center"/>
          </w:tcPr>
          <w:p w14:paraId="335FA8C7">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p>
        </w:tc>
        <w:tc>
          <w:tcPr>
            <w:tcW w:w="806" w:type="dxa"/>
            <w:vMerge w:val="continue"/>
            <w:noWrap w:val="0"/>
            <w:vAlign w:val="center"/>
          </w:tcPr>
          <w:p w14:paraId="2D53C557">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kern w:val="0"/>
                <w:szCs w:val="21"/>
                <w:highlight w:val="none"/>
                <w:lang w:val="en-US" w:eastAsia="zh-CN"/>
              </w:rPr>
            </w:pPr>
          </w:p>
        </w:tc>
        <w:tc>
          <w:tcPr>
            <w:tcW w:w="1227" w:type="dxa"/>
            <w:vMerge w:val="continue"/>
            <w:noWrap w:val="0"/>
            <w:vAlign w:val="center"/>
          </w:tcPr>
          <w:p w14:paraId="42D5958B">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kern w:val="0"/>
                <w:szCs w:val="21"/>
                <w:highlight w:val="none"/>
                <w:lang w:val="en-US" w:eastAsia="zh-CN"/>
              </w:rPr>
            </w:pPr>
          </w:p>
        </w:tc>
        <w:tc>
          <w:tcPr>
            <w:tcW w:w="716" w:type="dxa"/>
            <w:vMerge w:val="continue"/>
            <w:noWrap w:val="0"/>
            <w:vAlign w:val="center"/>
          </w:tcPr>
          <w:p w14:paraId="11BEF782">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kern w:val="0"/>
                <w:szCs w:val="21"/>
                <w:highlight w:val="none"/>
                <w:lang w:val="en-US" w:eastAsia="zh-CN"/>
              </w:rPr>
            </w:pPr>
          </w:p>
        </w:tc>
        <w:tc>
          <w:tcPr>
            <w:tcW w:w="850" w:type="dxa"/>
            <w:noWrap w:val="0"/>
            <w:vAlign w:val="center"/>
          </w:tcPr>
          <w:p w14:paraId="48813A76">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t>1</w:t>
            </w:r>
          </w:p>
        </w:tc>
        <w:tc>
          <w:tcPr>
            <w:tcW w:w="901" w:type="dxa"/>
            <w:noWrap w:val="0"/>
            <w:vAlign w:val="center"/>
          </w:tcPr>
          <w:p w14:paraId="74348125">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t>2</w:t>
            </w:r>
          </w:p>
        </w:tc>
        <w:tc>
          <w:tcPr>
            <w:tcW w:w="855" w:type="dxa"/>
            <w:noWrap w:val="0"/>
            <w:vAlign w:val="center"/>
          </w:tcPr>
          <w:p w14:paraId="4EFDD4D9">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t>3</w:t>
            </w:r>
          </w:p>
        </w:tc>
        <w:tc>
          <w:tcPr>
            <w:tcW w:w="794" w:type="dxa"/>
            <w:noWrap w:val="0"/>
            <w:vAlign w:val="center"/>
          </w:tcPr>
          <w:p w14:paraId="181DAC4A">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t>4</w:t>
            </w:r>
          </w:p>
        </w:tc>
        <w:tc>
          <w:tcPr>
            <w:tcW w:w="850" w:type="dxa"/>
            <w:noWrap w:val="0"/>
            <w:vAlign w:val="center"/>
          </w:tcPr>
          <w:p w14:paraId="0BE0FEC3">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t>平均值</w:t>
            </w:r>
          </w:p>
        </w:tc>
      </w:tr>
      <w:tr w14:paraId="5366C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15" w:type="dxa"/>
            <w:vMerge w:val="restart"/>
            <w:noWrap w:val="0"/>
            <w:vAlign w:val="center"/>
          </w:tcPr>
          <w:p w14:paraId="00778ABF">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污水站废水出口</w:t>
            </w:r>
          </w:p>
        </w:tc>
        <w:tc>
          <w:tcPr>
            <w:tcW w:w="885" w:type="dxa"/>
            <w:vMerge w:val="restart"/>
            <w:noWrap w:val="0"/>
            <w:vAlign w:val="center"/>
          </w:tcPr>
          <w:p w14:paraId="67A0E08E">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2026.03.23</w:t>
            </w:r>
          </w:p>
        </w:tc>
        <w:tc>
          <w:tcPr>
            <w:tcW w:w="806" w:type="dxa"/>
            <w:vMerge w:val="restart"/>
            <w:noWrap w:val="0"/>
            <w:vAlign w:val="center"/>
          </w:tcPr>
          <w:p w14:paraId="0F57DC6E">
            <w:pPr>
              <w:adjustRightInd w:val="0"/>
              <w:snapToGrid w:val="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无色、</w:t>
            </w:r>
          </w:p>
          <w:p w14:paraId="79DC1495">
            <w:pPr>
              <w:adjustRightInd w:val="0"/>
              <w:snapToGrid w:val="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无味、</w:t>
            </w:r>
          </w:p>
          <w:p w14:paraId="221EE570">
            <w:pPr>
              <w:adjustRightInd w:val="0"/>
              <w:snapToGrid w:val="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澄清、</w:t>
            </w:r>
          </w:p>
          <w:p w14:paraId="7FAB839B">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无油膜</w:t>
            </w:r>
          </w:p>
        </w:tc>
        <w:tc>
          <w:tcPr>
            <w:tcW w:w="1227" w:type="dxa"/>
            <w:noWrap w:val="0"/>
            <w:vAlign w:val="center"/>
          </w:tcPr>
          <w:p w14:paraId="5B67D0D2">
            <w:pPr>
              <w:adjustRightInd w:val="0"/>
              <w:snapToGrid w:val="0"/>
              <w:jc w:val="center"/>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pH</w:t>
            </w:r>
          </w:p>
        </w:tc>
        <w:tc>
          <w:tcPr>
            <w:tcW w:w="716" w:type="dxa"/>
            <w:noWrap w:val="0"/>
            <w:vAlign w:val="center"/>
          </w:tcPr>
          <w:p w14:paraId="57B7E5D9">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无量纲</w:t>
            </w:r>
          </w:p>
        </w:tc>
        <w:tc>
          <w:tcPr>
            <w:tcW w:w="850" w:type="dxa"/>
            <w:noWrap w:val="0"/>
            <w:vAlign w:val="center"/>
          </w:tcPr>
          <w:p w14:paraId="7DE2AF9F">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7.3（</w:t>
            </w:r>
            <w:r>
              <w:rPr>
                <w:rFonts w:hint="eastAsia" w:ascii="Times New Roman" w:hAnsi="Times New Roman" w:eastAsia="宋体" w:cs="Times New Roman"/>
                <w:kern w:val="0"/>
                <w:sz w:val="18"/>
                <w:szCs w:val="18"/>
                <w:highlight w:val="none"/>
                <w:lang w:val="en-US" w:eastAsia="zh-CN"/>
              </w:rPr>
              <w:t>16.7</w:t>
            </w:r>
            <w:r>
              <w:rPr>
                <w:rFonts w:hint="eastAsia" w:ascii="宋体" w:hAnsi="宋体" w:eastAsia="宋体" w:cs="宋体"/>
                <w:kern w:val="0"/>
                <w:sz w:val="18"/>
                <w:szCs w:val="18"/>
                <w:highlight w:val="none"/>
                <w:lang w:val="en-US" w:eastAsia="zh-CN"/>
              </w:rPr>
              <w:t>℃</w:t>
            </w:r>
            <w:r>
              <w:rPr>
                <w:rFonts w:hint="eastAsia" w:ascii="Times New Roman" w:hAnsi="Times New Roman" w:eastAsia="宋体" w:cs="Times New Roman"/>
                <w:kern w:val="0"/>
                <w:sz w:val="18"/>
                <w:szCs w:val="18"/>
                <w:highlight w:val="none"/>
                <w:lang w:val="en-US" w:eastAsia="zh-CN"/>
              </w:rPr>
              <w:t>）</w:t>
            </w:r>
          </w:p>
        </w:tc>
        <w:tc>
          <w:tcPr>
            <w:tcW w:w="901" w:type="dxa"/>
            <w:noWrap w:val="0"/>
            <w:vAlign w:val="center"/>
          </w:tcPr>
          <w:p w14:paraId="453B13CA">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7.5</w:t>
            </w:r>
            <w:r>
              <w:rPr>
                <w:rFonts w:hint="eastAsia" w:ascii="Times New Roman" w:hAnsi="Times New Roman" w:eastAsia="宋体" w:cs="Times New Roman"/>
                <w:kern w:val="0"/>
                <w:sz w:val="18"/>
                <w:szCs w:val="18"/>
                <w:highlight w:val="none"/>
                <w:lang w:val="en-US" w:eastAsia="zh-CN"/>
              </w:rPr>
              <w:t>（17.43</w:t>
            </w:r>
            <w:r>
              <w:rPr>
                <w:rFonts w:hint="eastAsia" w:ascii="宋体" w:hAnsi="宋体" w:eastAsia="宋体" w:cs="宋体"/>
                <w:kern w:val="0"/>
                <w:sz w:val="18"/>
                <w:szCs w:val="18"/>
                <w:highlight w:val="none"/>
                <w:lang w:val="en-US" w:eastAsia="zh-CN"/>
              </w:rPr>
              <w:t>℃</w:t>
            </w:r>
            <w:r>
              <w:rPr>
                <w:rFonts w:hint="eastAsia" w:ascii="Times New Roman" w:hAnsi="Times New Roman" w:eastAsia="宋体" w:cs="Times New Roman"/>
                <w:kern w:val="0"/>
                <w:sz w:val="18"/>
                <w:szCs w:val="18"/>
                <w:highlight w:val="none"/>
                <w:lang w:val="en-US" w:eastAsia="zh-CN"/>
              </w:rPr>
              <w:t>）</w:t>
            </w:r>
          </w:p>
        </w:tc>
        <w:tc>
          <w:tcPr>
            <w:tcW w:w="855" w:type="dxa"/>
            <w:noWrap w:val="0"/>
            <w:vAlign w:val="center"/>
          </w:tcPr>
          <w:p w14:paraId="16BB3FDA">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7.6（</w:t>
            </w:r>
            <w:r>
              <w:rPr>
                <w:rFonts w:hint="eastAsia" w:ascii="Times New Roman" w:hAnsi="Times New Roman" w:eastAsia="宋体" w:cs="Times New Roman"/>
                <w:kern w:val="0"/>
                <w:sz w:val="18"/>
                <w:szCs w:val="18"/>
                <w:highlight w:val="none"/>
                <w:lang w:val="en-US" w:eastAsia="zh-CN"/>
              </w:rPr>
              <w:t>18.1</w:t>
            </w:r>
            <w:r>
              <w:rPr>
                <w:rFonts w:hint="eastAsia" w:ascii="宋体" w:hAnsi="宋体" w:eastAsia="宋体" w:cs="宋体"/>
                <w:kern w:val="0"/>
                <w:sz w:val="18"/>
                <w:szCs w:val="18"/>
                <w:highlight w:val="none"/>
                <w:lang w:val="en-US" w:eastAsia="zh-CN"/>
              </w:rPr>
              <w:t>℃</w:t>
            </w:r>
            <w:r>
              <w:rPr>
                <w:rFonts w:hint="eastAsia" w:ascii="Times New Roman" w:hAnsi="Times New Roman" w:eastAsia="宋体" w:cs="Times New Roman"/>
                <w:kern w:val="0"/>
                <w:sz w:val="18"/>
                <w:szCs w:val="18"/>
                <w:highlight w:val="none"/>
                <w:lang w:val="en-US" w:eastAsia="zh-CN"/>
              </w:rPr>
              <w:t>）</w:t>
            </w:r>
          </w:p>
        </w:tc>
        <w:tc>
          <w:tcPr>
            <w:tcW w:w="794" w:type="dxa"/>
            <w:noWrap w:val="0"/>
            <w:vAlign w:val="center"/>
          </w:tcPr>
          <w:p w14:paraId="009C5DCF">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7.4</w:t>
            </w:r>
            <w:r>
              <w:rPr>
                <w:rFonts w:hint="eastAsia" w:ascii="Times New Roman" w:hAnsi="Times New Roman" w:eastAsia="宋体" w:cs="Times New Roman"/>
                <w:kern w:val="0"/>
                <w:sz w:val="18"/>
                <w:szCs w:val="18"/>
                <w:highlight w:val="none"/>
                <w:lang w:val="en-US" w:eastAsia="zh-CN"/>
              </w:rPr>
              <w:t>（18.3</w:t>
            </w:r>
            <w:r>
              <w:rPr>
                <w:rFonts w:hint="eastAsia" w:ascii="宋体" w:hAnsi="宋体" w:eastAsia="宋体" w:cs="宋体"/>
                <w:kern w:val="0"/>
                <w:sz w:val="18"/>
                <w:szCs w:val="18"/>
                <w:highlight w:val="none"/>
                <w:lang w:val="en-US" w:eastAsia="zh-CN"/>
              </w:rPr>
              <w:t>℃</w:t>
            </w:r>
            <w:r>
              <w:rPr>
                <w:rFonts w:hint="eastAsia" w:ascii="Times New Roman" w:hAnsi="Times New Roman" w:eastAsia="宋体" w:cs="Times New Roman"/>
                <w:kern w:val="0"/>
                <w:sz w:val="18"/>
                <w:szCs w:val="18"/>
                <w:highlight w:val="none"/>
                <w:lang w:val="en-US" w:eastAsia="zh-CN"/>
              </w:rPr>
              <w:t>）</w:t>
            </w:r>
          </w:p>
        </w:tc>
        <w:tc>
          <w:tcPr>
            <w:tcW w:w="850" w:type="dxa"/>
            <w:noWrap w:val="0"/>
            <w:vAlign w:val="center"/>
          </w:tcPr>
          <w:p w14:paraId="4DDB4000">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7.3~7.6</w:t>
            </w:r>
          </w:p>
        </w:tc>
      </w:tr>
      <w:tr w14:paraId="4B081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15" w:type="dxa"/>
            <w:vMerge w:val="continue"/>
            <w:noWrap w:val="0"/>
            <w:vAlign w:val="center"/>
          </w:tcPr>
          <w:p w14:paraId="17DB7289">
            <w:pPr>
              <w:adjustRightInd w:val="0"/>
              <w:snapToGrid w:val="0"/>
              <w:jc w:val="center"/>
              <w:rPr>
                <w:rFonts w:hint="eastAsia" w:ascii="Times New Roman" w:hAnsi="Times New Roman" w:eastAsia="宋体" w:cs="Times New Roman"/>
                <w:color w:val="auto"/>
                <w:sz w:val="24"/>
                <w:highlight w:val="none"/>
                <w:lang w:eastAsia="zh-CN"/>
              </w:rPr>
            </w:pPr>
          </w:p>
        </w:tc>
        <w:tc>
          <w:tcPr>
            <w:tcW w:w="885" w:type="dxa"/>
            <w:vMerge w:val="continue"/>
            <w:noWrap w:val="0"/>
            <w:vAlign w:val="center"/>
          </w:tcPr>
          <w:p w14:paraId="65231258">
            <w:pPr>
              <w:adjustRightInd w:val="0"/>
              <w:snapToGrid w:val="0"/>
              <w:jc w:val="center"/>
              <w:rPr>
                <w:rFonts w:hint="eastAsia" w:ascii="Times New Roman" w:hAnsi="Times New Roman" w:eastAsia="宋体" w:cs="Times New Roman"/>
                <w:color w:val="auto"/>
                <w:kern w:val="0"/>
                <w:szCs w:val="21"/>
                <w:highlight w:val="none"/>
                <w:lang w:val="en-US" w:eastAsia="zh-CN"/>
              </w:rPr>
            </w:pPr>
          </w:p>
        </w:tc>
        <w:tc>
          <w:tcPr>
            <w:tcW w:w="806" w:type="dxa"/>
            <w:vMerge w:val="continue"/>
            <w:noWrap w:val="0"/>
            <w:vAlign w:val="center"/>
          </w:tcPr>
          <w:p w14:paraId="1F1FAA41">
            <w:pPr>
              <w:adjustRightInd w:val="0"/>
              <w:snapToGrid w:val="0"/>
              <w:jc w:val="center"/>
              <w:rPr>
                <w:rFonts w:hint="eastAsia" w:ascii="Times New Roman" w:hAnsi="Times New Roman" w:eastAsia="宋体" w:cs="Times New Roman"/>
                <w:color w:val="auto"/>
                <w:kern w:val="0"/>
                <w:szCs w:val="21"/>
                <w:highlight w:val="none"/>
                <w:lang w:val="en-US" w:eastAsia="zh-CN"/>
              </w:rPr>
            </w:pPr>
          </w:p>
        </w:tc>
        <w:tc>
          <w:tcPr>
            <w:tcW w:w="1227" w:type="dxa"/>
            <w:noWrap w:val="0"/>
            <w:vAlign w:val="center"/>
          </w:tcPr>
          <w:p w14:paraId="5F0397FA">
            <w:pPr>
              <w:adjustRightInd w:val="0"/>
              <w:snapToGrid w:val="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化学需氧量</w:t>
            </w:r>
          </w:p>
        </w:tc>
        <w:tc>
          <w:tcPr>
            <w:tcW w:w="716" w:type="dxa"/>
            <w:noWrap w:val="0"/>
            <w:vAlign w:val="center"/>
          </w:tcPr>
          <w:p w14:paraId="0F495077">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t>mg/L</w:t>
            </w:r>
          </w:p>
        </w:tc>
        <w:tc>
          <w:tcPr>
            <w:tcW w:w="850" w:type="dxa"/>
            <w:noWrap w:val="0"/>
            <w:vAlign w:val="center"/>
          </w:tcPr>
          <w:p w14:paraId="5009118B">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22</w:t>
            </w:r>
          </w:p>
        </w:tc>
        <w:tc>
          <w:tcPr>
            <w:tcW w:w="901" w:type="dxa"/>
            <w:noWrap w:val="0"/>
            <w:vAlign w:val="center"/>
          </w:tcPr>
          <w:p w14:paraId="3E279453">
            <w:pPr>
              <w:adjustRightInd w:val="0"/>
              <w:snapToGrid w:val="0"/>
              <w:jc w:val="center"/>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23</w:t>
            </w:r>
          </w:p>
        </w:tc>
        <w:tc>
          <w:tcPr>
            <w:tcW w:w="855" w:type="dxa"/>
            <w:noWrap w:val="0"/>
            <w:vAlign w:val="center"/>
          </w:tcPr>
          <w:p w14:paraId="74C35CC2">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21</w:t>
            </w:r>
          </w:p>
        </w:tc>
        <w:tc>
          <w:tcPr>
            <w:tcW w:w="794" w:type="dxa"/>
            <w:noWrap w:val="0"/>
            <w:vAlign w:val="center"/>
          </w:tcPr>
          <w:p w14:paraId="6D2458C6">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23</w:t>
            </w:r>
          </w:p>
        </w:tc>
        <w:tc>
          <w:tcPr>
            <w:tcW w:w="850" w:type="dxa"/>
            <w:noWrap w:val="0"/>
            <w:vAlign w:val="center"/>
          </w:tcPr>
          <w:p w14:paraId="5770E562">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fldChar w:fldCharType="begin"/>
            </w:r>
            <w:r>
              <w:rPr>
                <w:rFonts w:hint="default" w:ascii="Times New Roman" w:hAnsi="Times New Roman" w:eastAsia="宋体" w:cs="Times New Roman"/>
                <w:kern w:val="0"/>
                <w:szCs w:val="21"/>
                <w:highlight w:val="none"/>
                <w:lang w:val="en-US" w:eastAsia="zh-CN"/>
              </w:rPr>
              <w:instrText xml:space="preserve"> = average(F4:I4) \* MERGEFORMAT </w:instrText>
            </w:r>
            <w:r>
              <w:rPr>
                <w:rFonts w:hint="default" w:ascii="Times New Roman" w:hAnsi="Times New Roman" w:eastAsia="宋体" w:cs="Times New Roman"/>
                <w:kern w:val="0"/>
                <w:szCs w:val="21"/>
                <w:highlight w:val="none"/>
                <w:lang w:val="en-US" w:eastAsia="zh-CN"/>
              </w:rPr>
              <w:fldChar w:fldCharType="separate"/>
            </w:r>
            <w:r>
              <w:rPr>
                <w:rFonts w:hint="default" w:ascii="Times New Roman" w:hAnsi="Times New Roman" w:eastAsia="宋体" w:cs="Times New Roman"/>
                <w:kern w:val="0"/>
                <w:szCs w:val="21"/>
                <w:highlight w:val="none"/>
                <w:lang w:val="en-US" w:eastAsia="zh-CN"/>
              </w:rPr>
              <w:t>22</w:t>
            </w:r>
            <w:r>
              <w:rPr>
                <w:rFonts w:hint="default" w:ascii="Times New Roman" w:hAnsi="Times New Roman" w:eastAsia="宋体" w:cs="Times New Roman"/>
                <w:kern w:val="0"/>
                <w:szCs w:val="21"/>
                <w:highlight w:val="none"/>
                <w:lang w:val="en-US" w:eastAsia="zh-CN"/>
              </w:rPr>
              <w:fldChar w:fldCharType="end"/>
            </w:r>
          </w:p>
        </w:tc>
      </w:tr>
      <w:tr w14:paraId="669ED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15" w:type="dxa"/>
            <w:vMerge w:val="continue"/>
            <w:noWrap w:val="0"/>
            <w:vAlign w:val="center"/>
          </w:tcPr>
          <w:p w14:paraId="628522F8">
            <w:pPr>
              <w:adjustRightInd w:val="0"/>
              <w:snapToGrid w:val="0"/>
              <w:jc w:val="center"/>
              <w:rPr>
                <w:rFonts w:hint="eastAsia" w:ascii="Times New Roman" w:hAnsi="Times New Roman" w:eastAsia="宋体" w:cs="Times New Roman"/>
                <w:color w:val="auto"/>
                <w:sz w:val="24"/>
                <w:highlight w:val="none"/>
                <w:lang w:eastAsia="zh-CN"/>
              </w:rPr>
            </w:pPr>
          </w:p>
        </w:tc>
        <w:tc>
          <w:tcPr>
            <w:tcW w:w="885" w:type="dxa"/>
            <w:vMerge w:val="continue"/>
            <w:noWrap w:val="0"/>
            <w:vAlign w:val="center"/>
          </w:tcPr>
          <w:p w14:paraId="4754F906">
            <w:pPr>
              <w:adjustRightInd w:val="0"/>
              <w:snapToGrid w:val="0"/>
              <w:jc w:val="center"/>
              <w:rPr>
                <w:rFonts w:hint="eastAsia" w:ascii="Times New Roman" w:hAnsi="Times New Roman" w:eastAsia="宋体" w:cs="Times New Roman"/>
                <w:color w:val="auto"/>
                <w:kern w:val="0"/>
                <w:szCs w:val="21"/>
                <w:highlight w:val="none"/>
                <w:lang w:val="en-US" w:eastAsia="zh-CN"/>
              </w:rPr>
            </w:pPr>
          </w:p>
        </w:tc>
        <w:tc>
          <w:tcPr>
            <w:tcW w:w="806" w:type="dxa"/>
            <w:vMerge w:val="continue"/>
            <w:noWrap w:val="0"/>
            <w:vAlign w:val="center"/>
          </w:tcPr>
          <w:p w14:paraId="7791AE8B">
            <w:pPr>
              <w:adjustRightInd w:val="0"/>
              <w:snapToGrid w:val="0"/>
              <w:jc w:val="center"/>
              <w:rPr>
                <w:rFonts w:hint="eastAsia" w:ascii="Times New Roman" w:hAnsi="Times New Roman" w:eastAsia="宋体" w:cs="Times New Roman"/>
                <w:color w:val="auto"/>
                <w:kern w:val="0"/>
                <w:szCs w:val="21"/>
                <w:highlight w:val="none"/>
                <w:lang w:val="en-US" w:eastAsia="zh-CN"/>
              </w:rPr>
            </w:pPr>
          </w:p>
        </w:tc>
        <w:tc>
          <w:tcPr>
            <w:tcW w:w="1227" w:type="dxa"/>
            <w:noWrap w:val="0"/>
            <w:vAlign w:val="center"/>
          </w:tcPr>
          <w:p w14:paraId="3127AAA2">
            <w:pPr>
              <w:adjustRightInd w:val="0"/>
              <w:snapToGrid w:val="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五日生化需氧量</w:t>
            </w:r>
          </w:p>
        </w:tc>
        <w:tc>
          <w:tcPr>
            <w:tcW w:w="716" w:type="dxa"/>
            <w:noWrap w:val="0"/>
            <w:vAlign w:val="center"/>
          </w:tcPr>
          <w:p w14:paraId="5409B32D">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t>mg/L</w:t>
            </w:r>
          </w:p>
        </w:tc>
        <w:tc>
          <w:tcPr>
            <w:tcW w:w="850" w:type="dxa"/>
            <w:noWrap w:val="0"/>
            <w:vAlign w:val="center"/>
          </w:tcPr>
          <w:p w14:paraId="4F36E47D">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7.6</w:t>
            </w:r>
          </w:p>
        </w:tc>
        <w:tc>
          <w:tcPr>
            <w:tcW w:w="901" w:type="dxa"/>
            <w:noWrap w:val="0"/>
            <w:vAlign w:val="center"/>
          </w:tcPr>
          <w:p w14:paraId="01914709">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7.4</w:t>
            </w:r>
          </w:p>
        </w:tc>
        <w:tc>
          <w:tcPr>
            <w:tcW w:w="855" w:type="dxa"/>
            <w:noWrap w:val="0"/>
            <w:vAlign w:val="center"/>
          </w:tcPr>
          <w:p w14:paraId="1348C36D">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6.9</w:t>
            </w:r>
          </w:p>
        </w:tc>
        <w:tc>
          <w:tcPr>
            <w:tcW w:w="794" w:type="dxa"/>
            <w:noWrap w:val="0"/>
            <w:vAlign w:val="center"/>
          </w:tcPr>
          <w:p w14:paraId="36CC0071">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7.3</w:t>
            </w:r>
          </w:p>
        </w:tc>
        <w:tc>
          <w:tcPr>
            <w:tcW w:w="850" w:type="dxa"/>
            <w:noWrap w:val="0"/>
            <w:vAlign w:val="center"/>
          </w:tcPr>
          <w:p w14:paraId="0678CA67">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fldChar w:fldCharType="begin"/>
            </w:r>
            <w:r>
              <w:rPr>
                <w:rFonts w:hint="default" w:ascii="Times New Roman" w:hAnsi="Times New Roman" w:eastAsia="宋体" w:cs="Times New Roman"/>
                <w:kern w:val="0"/>
                <w:szCs w:val="21"/>
                <w:highlight w:val="none"/>
                <w:lang w:val="en-US" w:eastAsia="zh-CN"/>
              </w:rPr>
              <w:instrText xml:space="preserve"> = average(F5:I5) \* MERGEFORMAT </w:instrText>
            </w:r>
            <w:r>
              <w:rPr>
                <w:rFonts w:hint="default" w:ascii="Times New Roman" w:hAnsi="Times New Roman" w:eastAsia="宋体" w:cs="Times New Roman"/>
                <w:kern w:val="0"/>
                <w:szCs w:val="21"/>
                <w:highlight w:val="none"/>
                <w:lang w:val="en-US" w:eastAsia="zh-CN"/>
              </w:rPr>
              <w:fldChar w:fldCharType="separate"/>
            </w:r>
            <w:r>
              <w:rPr>
                <w:rFonts w:hint="default" w:ascii="Times New Roman" w:hAnsi="Times New Roman" w:eastAsia="宋体" w:cs="Times New Roman"/>
                <w:kern w:val="0"/>
                <w:szCs w:val="21"/>
                <w:highlight w:val="none"/>
                <w:lang w:val="en-US" w:eastAsia="zh-CN"/>
              </w:rPr>
              <w:t>7.3</w:t>
            </w:r>
            <w:r>
              <w:rPr>
                <w:rFonts w:hint="default" w:ascii="Times New Roman" w:hAnsi="Times New Roman" w:eastAsia="宋体" w:cs="Times New Roman"/>
                <w:kern w:val="0"/>
                <w:szCs w:val="21"/>
                <w:highlight w:val="none"/>
                <w:lang w:val="en-US" w:eastAsia="zh-CN"/>
              </w:rPr>
              <w:fldChar w:fldCharType="end"/>
            </w:r>
          </w:p>
        </w:tc>
      </w:tr>
      <w:tr w14:paraId="651E9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15" w:type="dxa"/>
            <w:vMerge w:val="continue"/>
            <w:noWrap w:val="0"/>
            <w:vAlign w:val="center"/>
          </w:tcPr>
          <w:p w14:paraId="701580D2">
            <w:pPr>
              <w:adjustRightInd w:val="0"/>
              <w:snapToGrid w:val="0"/>
              <w:jc w:val="center"/>
              <w:rPr>
                <w:rFonts w:hint="eastAsia" w:ascii="Times New Roman" w:hAnsi="Times New Roman" w:eastAsia="宋体" w:cs="Times New Roman"/>
                <w:color w:val="auto"/>
                <w:sz w:val="24"/>
                <w:highlight w:val="none"/>
                <w:lang w:eastAsia="zh-CN"/>
              </w:rPr>
            </w:pPr>
          </w:p>
        </w:tc>
        <w:tc>
          <w:tcPr>
            <w:tcW w:w="885" w:type="dxa"/>
            <w:vMerge w:val="continue"/>
            <w:noWrap w:val="0"/>
            <w:vAlign w:val="center"/>
          </w:tcPr>
          <w:p w14:paraId="1161A342">
            <w:pPr>
              <w:adjustRightInd w:val="0"/>
              <w:snapToGrid w:val="0"/>
              <w:jc w:val="center"/>
              <w:rPr>
                <w:rFonts w:hint="eastAsia" w:ascii="Times New Roman" w:hAnsi="Times New Roman" w:eastAsia="宋体" w:cs="Times New Roman"/>
                <w:color w:val="auto"/>
                <w:kern w:val="0"/>
                <w:szCs w:val="21"/>
                <w:highlight w:val="none"/>
                <w:lang w:val="en-US" w:eastAsia="zh-CN"/>
              </w:rPr>
            </w:pPr>
          </w:p>
        </w:tc>
        <w:tc>
          <w:tcPr>
            <w:tcW w:w="806" w:type="dxa"/>
            <w:vMerge w:val="continue"/>
            <w:noWrap w:val="0"/>
            <w:vAlign w:val="center"/>
          </w:tcPr>
          <w:p w14:paraId="700CA030">
            <w:pPr>
              <w:adjustRightInd w:val="0"/>
              <w:snapToGrid w:val="0"/>
              <w:jc w:val="center"/>
              <w:rPr>
                <w:rFonts w:hint="eastAsia" w:ascii="Times New Roman" w:hAnsi="Times New Roman" w:eastAsia="宋体" w:cs="Times New Roman"/>
                <w:color w:val="auto"/>
                <w:kern w:val="0"/>
                <w:szCs w:val="21"/>
                <w:highlight w:val="none"/>
                <w:lang w:val="en-US" w:eastAsia="zh-CN"/>
              </w:rPr>
            </w:pPr>
          </w:p>
        </w:tc>
        <w:tc>
          <w:tcPr>
            <w:tcW w:w="1227" w:type="dxa"/>
            <w:noWrap w:val="0"/>
            <w:vAlign w:val="center"/>
          </w:tcPr>
          <w:p w14:paraId="4083C328">
            <w:pPr>
              <w:adjustRightInd w:val="0"/>
              <w:snapToGrid w:val="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氨氮</w:t>
            </w:r>
          </w:p>
        </w:tc>
        <w:tc>
          <w:tcPr>
            <w:tcW w:w="716" w:type="dxa"/>
            <w:noWrap w:val="0"/>
            <w:vAlign w:val="center"/>
          </w:tcPr>
          <w:p w14:paraId="7DA0CA31">
            <w:pPr>
              <w:adjustRightInd w:val="0"/>
              <w:snapToGrid w:val="0"/>
              <w:jc w:val="center"/>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mg/L</w:t>
            </w:r>
          </w:p>
        </w:tc>
        <w:tc>
          <w:tcPr>
            <w:tcW w:w="850" w:type="dxa"/>
            <w:noWrap w:val="0"/>
            <w:vAlign w:val="center"/>
          </w:tcPr>
          <w:p w14:paraId="5170DB4E">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3.14</w:t>
            </w:r>
          </w:p>
        </w:tc>
        <w:tc>
          <w:tcPr>
            <w:tcW w:w="901" w:type="dxa"/>
            <w:noWrap w:val="0"/>
            <w:vAlign w:val="center"/>
          </w:tcPr>
          <w:p w14:paraId="36DCC4E2">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3.26</w:t>
            </w:r>
          </w:p>
        </w:tc>
        <w:tc>
          <w:tcPr>
            <w:tcW w:w="855" w:type="dxa"/>
            <w:noWrap w:val="0"/>
            <w:vAlign w:val="center"/>
          </w:tcPr>
          <w:p w14:paraId="5DEC422A">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3.24</w:t>
            </w:r>
          </w:p>
        </w:tc>
        <w:tc>
          <w:tcPr>
            <w:tcW w:w="794" w:type="dxa"/>
            <w:noWrap w:val="0"/>
            <w:vAlign w:val="center"/>
          </w:tcPr>
          <w:p w14:paraId="11B59209">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3.19</w:t>
            </w:r>
          </w:p>
        </w:tc>
        <w:tc>
          <w:tcPr>
            <w:tcW w:w="850" w:type="dxa"/>
            <w:noWrap w:val="0"/>
            <w:vAlign w:val="center"/>
          </w:tcPr>
          <w:p w14:paraId="17987E16">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fldChar w:fldCharType="begin"/>
            </w:r>
            <w:r>
              <w:rPr>
                <w:rFonts w:hint="default" w:ascii="Times New Roman" w:hAnsi="Times New Roman" w:eastAsia="宋体" w:cs="Times New Roman"/>
                <w:kern w:val="0"/>
                <w:szCs w:val="21"/>
                <w:highlight w:val="none"/>
                <w:lang w:val="en-US" w:eastAsia="zh-CN"/>
              </w:rPr>
              <w:instrText xml:space="preserve"> = average(F6:I6) \* MERGEFORMAT </w:instrText>
            </w:r>
            <w:r>
              <w:rPr>
                <w:rFonts w:hint="default" w:ascii="Times New Roman" w:hAnsi="Times New Roman" w:eastAsia="宋体" w:cs="Times New Roman"/>
                <w:kern w:val="0"/>
                <w:szCs w:val="21"/>
                <w:highlight w:val="none"/>
                <w:lang w:val="en-US" w:eastAsia="zh-CN"/>
              </w:rPr>
              <w:fldChar w:fldCharType="separate"/>
            </w:r>
            <w:r>
              <w:rPr>
                <w:rFonts w:hint="default" w:ascii="Times New Roman" w:hAnsi="Times New Roman" w:eastAsia="宋体" w:cs="Times New Roman"/>
                <w:kern w:val="0"/>
                <w:szCs w:val="21"/>
                <w:highlight w:val="none"/>
                <w:lang w:val="en-US" w:eastAsia="zh-CN"/>
              </w:rPr>
              <w:t>3.2</w:t>
            </w:r>
            <w:r>
              <w:rPr>
                <w:rFonts w:hint="eastAsia" w:ascii="Times New Roman" w:hAnsi="Times New Roman" w:eastAsia="宋体" w:cs="Times New Roman"/>
                <w:kern w:val="0"/>
                <w:szCs w:val="21"/>
                <w:highlight w:val="none"/>
                <w:lang w:val="en-US" w:eastAsia="zh-CN"/>
              </w:rPr>
              <w:t>1</w:t>
            </w:r>
            <w:r>
              <w:rPr>
                <w:rFonts w:hint="default" w:ascii="Times New Roman" w:hAnsi="Times New Roman" w:eastAsia="宋体" w:cs="Times New Roman"/>
                <w:kern w:val="0"/>
                <w:szCs w:val="21"/>
                <w:highlight w:val="none"/>
                <w:lang w:val="en-US" w:eastAsia="zh-CN"/>
              </w:rPr>
              <w:fldChar w:fldCharType="end"/>
            </w:r>
          </w:p>
        </w:tc>
      </w:tr>
      <w:tr w14:paraId="1F6FC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15" w:type="dxa"/>
            <w:vMerge w:val="continue"/>
            <w:noWrap w:val="0"/>
            <w:vAlign w:val="center"/>
          </w:tcPr>
          <w:p w14:paraId="2BD2317D">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kern w:val="0"/>
                <w:szCs w:val="21"/>
                <w:highlight w:val="none"/>
                <w:lang w:eastAsia="zh-CN"/>
              </w:rPr>
            </w:pPr>
          </w:p>
        </w:tc>
        <w:tc>
          <w:tcPr>
            <w:tcW w:w="885" w:type="dxa"/>
            <w:vMerge w:val="continue"/>
            <w:noWrap w:val="0"/>
            <w:vAlign w:val="center"/>
          </w:tcPr>
          <w:p w14:paraId="76909E89">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p>
        </w:tc>
        <w:tc>
          <w:tcPr>
            <w:tcW w:w="806" w:type="dxa"/>
            <w:vMerge w:val="continue"/>
            <w:noWrap w:val="0"/>
            <w:vAlign w:val="center"/>
          </w:tcPr>
          <w:p w14:paraId="7F5BE8DE">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kern w:val="0"/>
                <w:szCs w:val="21"/>
                <w:highlight w:val="none"/>
                <w:lang w:val="en-US" w:eastAsia="zh-CN"/>
              </w:rPr>
            </w:pPr>
          </w:p>
        </w:tc>
        <w:tc>
          <w:tcPr>
            <w:tcW w:w="1227" w:type="dxa"/>
            <w:noWrap w:val="0"/>
            <w:vAlign w:val="center"/>
          </w:tcPr>
          <w:p w14:paraId="7CA7E18C">
            <w:pPr>
              <w:adjustRightInd w:val="0"/>
              <w:snapToGrid w:val="0"/>
              <w:jc w:val="center"/>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石油类</w:t>
            </w:r>
          </w:p>
        </w:tc>
        <w:tc>
          <w:tcPr>
            <w:tcW w:w="716" w:type="dxa"/>
            <w:noWrap w:val="0"/>
            <w:vAlign w:val="center"/>
          </w:tcPr>
          <w:p w14:paraId="00329109">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mg/L</w:t>
            </w:r>
          </w:p>
        </w:tc>
        <w:tc>
          <w:tcPr>
            <w:tcW w:w="850" w:type="dxa"/>
            <w:noWrap w:val="0"/>
            <w:vAlign w:val="center"/>
          </w:tcPr>
          <w:p w14:paraId="1F8273A3">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0.51</w:t>
            </w:r>
          </w:p>
        </w:tc>
        <w:tc>
          <w:tcPr>
            <w:tcW w:w="901" w:type="dxa"/>
            <w:noWrap w:val="0"/>
            <w:vAlign w:val="center"/>
          </w:tcPr>
          <w:p w14:paraId="1E7D9CB1">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0.51</w:t>
            </w:r>
          </w:p>
        </w:tc>
        <w:tc>
          <w:tcPr>
            <w:tcW w:w="855" w:type="dxa"/>
            <w:noWrap w:val="0"/>
            <w:vAlign w:val="center"/>
          </w:tcPr>
          <w:p w14:paraId="2220524D">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0.50</w:t>
            </w:r>
          </w:p>
        </w:tc>
        <w:tc>
          <w:tcPr>
            <w:tcW w:w="794" w:type="dxa"/>
            <w:noWrap w:val="0"/>
            <w:vAlign w:val="center"/>
          </w:tcPr>
          <w:p w14:paraId="0203BD3F">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0.56</w:t>
            </w:r>
          </w:p>
        </w:tc>
        <w:tc>
          <w:tcPr>
            <w:tcW w:w="850" w:type="dxa"/>
            <w:noWrap w:val="0"/>
            <w:vAlign w:val="center"/>
          </w:tcPr>
          <w:p w14:paraId="6114ED88">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fldChar w:fldCharType="begin"/>
            </w:r>
            <w:r>
              <w:rPr>
                <w:rFonts w:hint="default" w:ascii="Times New Roman" w:hAnsi="Times New Roman" w:eastAsia="宋体" w:cs="Times New Roman"/>
                <w:kern w:val="0"/>
                <w:szCs w:val="21"/>
                <w:highlight w:val="none"/>
                <w:lang w:val="en-US" w:eastAsia="zh-CN"/>
              </w:rPr>
              <w:instrText xml:space="preserve"> = average(F7:I7) \* MERGEFORMAT </w:instrText>
            </w:r>
            <w:r>
              <w:rPr>
                <w:rFonts w:hint="default" w:ascii="Times New Roman" w:hAnsi="Times New Roman" w:eastAsia="宋体" w:cs="Times New Roman"/>
                <w:kern w:val="0"/>
                <w:szCs w:val="21"/>
                <w:highlight w:val="none"/>
                <w:lang w:val="en-US" w:eastAsia="zh-CN"/>
              </w:rPr>
              <w:fldChar w:fldCharType="separate"/>
            </w:r>
            <w:r>
              <w:rPr>
                <w:rFonts w:hint="default" w:ascii="Times New Roman" w:hAnsi="Times New Roman" w:eastAsia="宋体" w:cs="Times New Roman"/>
                <w:kern w:val="0"/>
                <w:szCs w:val="21"/>
                <w:highlight w:val="none"/>
                <w:lang w:val="en-US" w:eastAsia="zh-CN"/>
              </w:rPr>
              <w:t>0.52</w:t>
            </w:r>
            <w:r>
              <w:rPr>
                <w:rFonts w:hint="default" w:ascii="Times New Roman" w:hAnsi="Times New Roman" w:eastAsia="宋体" w:cs="Times New Roman"/>
                <w:kern w:val="0"/>
                <w:szCs w:val="21"/>
                <w:highlight w:val="none"/>
                <w:lang w:val="en-US" w:eastAsia="zh-CN"/>
              </w:rPr>
              <w:fldChar w:fldCharType="end"/>
            </w:r>
          </w:p>
        </w:tc>
      </w:tr>
      <w:tr w14:paraId="34C94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15" w:type="dxa"/>
            <w:vMerge w:val="continue"/>
            <w:noWrap w:val="0"/>
            <w:vAlign w:val="center"/>
          </w:tcPr>
          <w:p w14:paraId="3E6D04B2">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kern w:val="0"/>
                <w:szCs w:val="21"/>
                <w:highlight w:val="none"/>
                <w:lang w:eastAsia="zh-CN"/>
              </w:rPr>
            </w:pPr>
          </w:p>
        </w:tc>
        <w:tc>
          <w:tcPr>
            <w:tcW w:w="885" w:type="dxa"/>
            <w:vMerge w:val="continue"/>
            <w:noWrap w:val="0"/>
            <w:vAlign w:val="center"/>
          </w:tcPr>
          <w:p w14:paraId="6A5F84BE">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p>
        </w:tc>
        <w:tc>
          <w:tcPr>
            <w:tcW w:w="806" w:type="dxa"/>
            <w:vMerge w:val="continue"/>
            <w:noWrap w:val="0"/>
            <w:vAlign w:val="center"/>
          </w:tcPr>
          <w:p w14:paraId="1E91FF08">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kern w:val="0"/>
                <w:szCs w:val="21"/>
                <w:highlight w:val="none"/>
                <w:lang w:val="en-US" w:eastAsia="zh-CN"/>
              </w:rPr>
            </w:pPr>
          </w:p>
        </w:tc>
        <w:tc>
          <w:tcPr>
            <w:tcW w:w="1227" w:type="dxa"/>
            <w:noWrap w:val="0"/>
            <w:vAlign w:val="center"/>
          </w:tcPr>
          <w:p w14:paraId="27F7A7E3">
            <w:pPr>
              <w:snapToGrid w:val="0"/>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氟化物</w:t>
            </w:r>
          </w:p>
        </w:tc>
        <w:tc>
          <w:tcPr>
            <w:tcW w:w="716" w:type="dxa"/>
            <w:noWrap w:val="0"/>
            <w:vAlign w:val="center"/>
          </w:tcPr>
          <w:p w14:paraId="0E0D3A2C">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mg/L</w:t>
            </w:r>
          </w:p>
        </w:tc>
        <w:tc>
          <w:tcPr>
            <w:tcW w:w="850" w:type="dxa"/>
            <w:noWrap w:val="0"/>
            <w:vAlign w:val="center"/>
          </w:tcPr>
          <w:p w14:paraId="2BFD21C8">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1.17</w:t>
            </w:r>
          </w:p>
        </w:tc>
        <w:tc>
          <w:tcPr>
            <w:tcW w:w="901" w:type="dxa"/>
            <w:noWrap w:val="0"/>
            <w:vAlign w:val="center"/>
          </w:tcPr>
          <w:p w14:paraId="4207B191">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1.09</w:t>
            </w:r>
          </w:p>
        </w:tc>
        <w:tc>
          <w:tcPr>
            <w:tcW w:w="855" w:type="dxa"/>
            <w:noWrap w:val="0"/>
            <w:vAlign w:val="center"/>
          </w:tcPr>
          <w:p w14:paraId="60042043">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1.27</w:t>
            </w:r>
          </w:p>
        </w:tc>
        <w:tc>
          <w:tcPr>
            <w:tcW w:w="794" w:type="dxa"/>
            <w:noWrap w:val="0"/>
            <w:vAlign w:val="center"/>
          </w:tcPr>
          <w:p w14:paraId="417F27C8">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0.99</w:t>
            </w:r>
          </w:p>
        </w:tc>
        <w:tc>
          <w:tcPr>
            <w:tcW w:w="850" w:type="dxa"/>
            <w:noWrap w:val="0"/>
            <w:vAlign w:val="center"/>
          </w:tcPr>
          <w:p w14:paraId="7E60D44A">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fldChar w:fldCharType="begin"/>
            </w:r>
            <w:r>
              <w:rPr>
                <w:rFonts w:hint="default" w:ascii="Times New Roman" w:hAnsi="Times New Roman" w:eastAsia="宋体" w:cs="Times New Roman"/>
                <w:kern w:val="0"/>
                <w:szCs w:val="21"/>
                <w:highlight w:val="none"/>
                <w:lang w:val="en-US" w:eastAsia="zh-CN"/>
              </w:rPr>
              <w:instrText xml:space="preserve"> = average(F8:I8) \* MERGEFORMAT </w:instrText>
            </w:r>
            <w:r>
              <w:rPr>
                <w:rFonts w:hint="default" w:ascii="Times New Roman" w:hAnsi="Times New Roman" w:eastAsia="宋体" w:cs="Times New Roman"/>
                <w:kern w:val="0"/>
                <w:szCs w:val="21"/>
                <w:highlight w:val="none"/>
                <w:lang w:val="en-US" w:eastAsia="zh-CN"/>
              </w:rPr>
              <w:fldChar w:fldCharType="separate"/>
            </w:r>
            <w:r>
              <w:rPr>
                <w:rFonts w:hint="default" w:ascii="Times New Roman" w:hAnsi="Times New Roman" w:eastAsia="宋体" w:cs="Times New Roman"/>
                <w:kern w:val="0"/>
                <w:szCs w:val="21"/>
                <w:highlight w:val="none"/>
                <w:lang w:val="en-US" w:eastAsia="zh-CN"/>
              </w:rPr>
              <w:t>1.13</w:t>
            </w:r>
            <w:r>
              <w:rPr>
                <w:rFonts w:hint="default" w:ascii="Times New Roman" w:hAnsi="Times New Roman" w:eastAsia="宋体" w:cs="Times New Roman"/>
                <w:kern w:val="0"/>
                <w:szCs w:val="21"/>
                <w:highlight w:val="none"/>
                <w:lang w:val="en-US" w:eastAsia="zh-CN"/>
              </w:rPr>
              <w:fldChar w:fldCharType="end"/>
            </w:r>
          </w:p>
        </w:tc>
      </w:tr>
      <w:tr w14:paraId="0E341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15" w:type="dxa"/>
            <w:vMerge w:val="continue"/>
            <w:noWrap w:val="0"/>
            <w:vAlign w:val="center"/>
          </w:tcPr>
          <w:p w14:paraId="79F2B507">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kern w:val="0"/>
                <w:szCs w:val="21"/>
                <w:highlight w:val="none"/>
                <w:lang w:eastAsia="zh-CN"/>
              </w:rPr>
            </w:pPr>
          </w:p>
        </w:tc>
        <w:tc>
          <w:tcPr>
            <w:tcW w:w="885" w:type="dxa"/>
            <w:vMerge w:val="continue"/>
            <w:noWrap w:val="0"/>
            <w:vAlign w:val="center"/>
          </w:tcPr>
          <w:p w14:paraId="09546638">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p>
        </w:tc>
        <w:tc>
          <w:tcPr>
            <w:tcW w:w="806" w:type="dxa"/>
            <w:vMerge w:val="continue"/>
            <w:noWrap w:val="0"/>
            <w:vAlign w:val="center"/>
          </w:tcPr>
          <w:p w14:paraId="700C452E">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kern w:val="0"/>
                <w:szCs w:val="21"/>
                <w:highlight w:val="none"/>
                <w:lang w:val="en-US" w:eastAsia="zh-CN"/>
              </w:rPr>
            </w:pPr>
          </w:p>
        </w:tc>
        <w:tc>
          <w:tcPr>
            <w:tcW w:w="1227" w:type="dxa"/>
            <w:noWrap w:val="0"/>
            <w:vAlign w:val="center"/>
          </w:tcPr>
          <w:p w14:paraId="4E803329">
            <w:pPr>
              <w:snapToGrid w:val="0"/>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阴离子表面活性剂</w:t>
            </w:r>
          </w:p>
        </w:tc>
        <w:tc>
          <w:tcPr>
            <w:tcW w:w="716" w:type="dxa"/>
            <w:noWrap w:val="0"/>
            <w:vAlign w:val="center"/>
          </w:tcPr>
          <w:p w14:paraId="736A160D">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mg/L</w:t>
            </w:r>
          </w:p>
        </w:tc>
        <w:tc>
          <w:tcPr>
            <w:tcW w:w="850" w:type="dxa"/>
            <w:noWrap w:val="0"/>
            <w:vAlign w:val="center"/>
          </w:tcPr>
          <w:p w14:paraId="024F8911">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0.05L</w:t>
            </w:r>
          </w:p>
        </w:tc>
        <w:tc>
          <w:tcPr>
            <w:tcW w:w="901" w:type="dxa"/>
            <w:noWrap w:val="0"/>
            <w:vAlign w:val="center"/>
          </w:tcPr>
          <w:p w14:paraId="0163B9BB">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0.05L</w:t>
            </w:r>
          </w:p>
        </w:tc>
        <w:tc>
          <w:tcPr>
            <w:tcW w:w="855" w:type="dxa"/>
            <w:noWrap w:val="0"/>
            <w:vAlign w:val="center"/>
          </w:tcPr>
          <w:p w14:paraId="6624D2D1">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0.05L</w:t>
            </w:r>
          </w:p>
        </w:tc>
        <w:tc>
          <w:tcPr>
            <w:tcW w:w="794" w:type="dxa"/>
            <w:noWrap w:val="0"/>
            <w:vAlign w:val="center"/>
          </w:tcPr>
          <w:p w14:paraId="2A813406">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0.05L</w:t>
            </w:r>
          </w:p>
        </w:tc>
        <w:tc>
          <w:tcPr>
            <w:tcW w:w="850" w:type="dxa"/>
            <w:noWrap w:val="0"/>
            <w:vAlign w:val="center"/>
          </w:tcPr>
          <w:p w14:paraId="5E41857D">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0.05L</w:t>
            </w:r>
          </w:p>
        </w:tc>
      </w:tr>
      <w:tr w14:paraId="192E3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15" w:type="dxa"/>
            <w:vMerge w:val="continue"/>
            <w:noWrap w:val="0"/>
            <w:vAlign w:val="center"/>
          </w:tcPr>
          <w:p w14:paraId="35F9240F">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kern w:val="0"/>
                <w:szCs w:val="21"/>
                <w:highlight w:val="none"/>
                <w:lang w:eastAsia="zh-CN"/>
              </w:rPr>
            </w:pPr>
          </w:p>
        </w:tc>
        <w:tc>
          <w:tcPr>
            <w:tcW w:w="885" w:type="dxa"/>
            <w:vMerge w:val="continue"/>
            <w:noWrap w:val="0"/>
            <w:vAlign w:val="center"/>
          </w:tcPr>
          <w:p w14:paraId="67A53572">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p>
        </w:tc>
        <w:tc>
          <w:tcPr>
            <w:tcW w:w="806" w:type="dxa"/>
            <w:vMerge w:val="continue"/>
            <w:noWrap w:val="0"/>
            <w:vAlign w:val="center"/>
          </w:tcPr>
          <w:p w14:paraId="28C26F5F">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kern w:val="0"/>
                <w:szCs w:val="21"/>
                <w:highlight w:val="none"/>
                <w:lang w:val="en-US" w:eastAsia="zh-CN"/>
              </w:rPr>
            </w:pPr>
          </w:p>
        </w:tc>
        <w:tc>
          <w:tcPr>
            <w:tcW w:w="1227" w:type="dxa"/>
            <w:noWrap w:val="0"/>
            <w:vAlign w:val="center"/>
          </w:tcPr>
          <w:p w14:paraId="2B43BE65">
            <w:pPr>
              <w:snapToGrid w:val="0"/>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硫酸盐</w:t>
            </w:r>
          </w:p>
        </w:tc>
        <w:tc>
          <w:tcPr>
            <w:tcW w:w="716" w:type="dxa"/>
            <w:noWrap w:val="0"/>
            <w:vAlign w:val="center"/>
          </w:tcPr>
          <w:p w14:paraId="26E0B104">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mg/L</w:t>
            </w:r>
          </w:p>
        </w:tc>
        <w:tc>
          <w:tcPr>
            <w:tcW w:w="850" w:type="dxa"/>
            <w:noWrap w:val="0"/>
            <w:vAlign w:val="center"/>
          </w:tcPr>
          <w:p w14:paraId="73524F85">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148</w:t>
            </w:r>
          </w:p>
        </w:tc>
        <w:tc>
          <w:tcPr>
            <w:tcW w:w="901" w:type="dxa"/>
            <w:noWrap w:val="0"/>
            <w:vAlign w:val="center"/>
          </w:tcPr>
          <w:p w14:paraId="59D1B4A5">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157</w:t>
            </w:r>
          </w:p>
        </w:tc>
        <w:tc>
          <w:tcPr>
            <w:tcW w:w="855" w:type="dxa"/>
            <w:noWrap w:val="0"/>
            <w:vAlign w:val="center"/>
          </w:tcPr>
          <w:p w14:paraId="0392F468">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160</w:t>
            </w:r>
          </w:p>
        </w:tc>
        <w:tc>
          <w:tcPr>
            <w:tcW w:w="794" w:type="dxa"/>
            <w:noWrap w:val="0"/>
            <w:vAlign w:val="center"/>
          </w:tcPr>
          <w:p w14:paraId="2BAAE161">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153</w:t>
            </w:r>
          </w:p>
        </w:tc>
        <w:tc>
          <w:tcPr>
            <w:tcW w:w="850" w:type="dxa"/>
            <w:noWrap w:val="0"/>
            <w:vAlign w:val="center"/>
          </w:tcPr>
          <w:p w14:paraId="5165947F">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fldChar w:fldCharType="begin"/>
            </w:r>
            <w:r>
              <w:rPr>
                <w:rFonts w:hint="default" w:ascii="Times New Roman" w:hAnsi="Times New Roman" w:eastAsia="宋体" w:cs="Times New Roman"/>
                <w:kern w:val="0"/>
                <w:szCs w:val="21"/>
                <w:highlight w:val="none"/>
                <w:lang w:val="en-US" w:eastAsia="zh-CN"/>
              </w:rPr>
              <w:instrText xml:space="preserve"> = average(F10:I10) \* MERGEFORMAT </w:instrText>
            </w:r>
            <w:r>
              <w:rPr>
                <w:rFonts w:hint="default" w:ascii="Times New Roman" w:hAnsi="Times New Roman" w:eastAsia="宋体" w:cs="Times New Roman"/>
                <w:kern w:val="0"/>
                <w:szCs w:val="21"/>
                <w:highlight w:val="none"/>
                <w:lang w:val="en-US" w:eastAsia="zh-CN"/>
              </w:rPr>
              <w:fldChar w:fldCharType="separate"/>
            </w:r>
            <w:r>
              <w:rPr>
                <w:rFonts w:hint="default" w:ascii="Times New Roman" w:hAnsi="Times New Roman" w:eastAsia="宋体" w:cs="Times New Roman"/>
                <w:kern w:val="0"/>
                <w:szCs w:val="21"/>
                <w:highlight w:val="none"/>
                <w:lang w:val="en-US" w:eastAsia="zh-CN"/>
              </w:rPr>
              <w:t>15</w:t>
            </w:r>
            <w:r>
              <w:rPr>
                <w:rFonts w:hint="eastAsia" w:ascii="Times New Roman" w:hAnsi="Times New Roman" w:eastAsia="宋体" w:cs="Times New Roman"/>
                <w:kern w:val="0"/>
                <w:szCs w:val="21"/>
                <w:highlight w:val="none"/>
                <w:lang w:val="en-US" w:eastAsia="zh-CN"/>
              </w:rPr>
              <w:t>4</w:t>
            </w:r>
            <w:r>
              <w:rPr>
                <w:rFonts w:hint="default" w:ascii="Times New Roman" w:hAnsi="Times New Roman" w:eastAsia="宋体" w:cs="Times New Roman"/>
                <w:kern w:val="0"/>
                <w:szCs w:val="21"/>
                <w:highlight w:val="none"/>
                <w:lang w:val="en-US" w:eastAsia="zh-CN"/>
              </w:rPr>
              <w:fldChar w:fldCharType="end"/>
            </w:r>
          </w:p>
        </w:tc>
      </w:tr>
      <w:tr w14:paraId="5C3DF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15" w:type="dxa"/>
            <w:vMerge w:val="restart"/>
            <w:noWrap w:val="0"/>
            <w:vAlign w:val="center"/>
          </w:tcPr>
          <w:p w14:paraId="0EA9B970">
            <w:pPr>
              <w:adjustRightInd w:val="0"/>
              <w:snapToGrid w:val="0"/>
              <w:jc w:val="center"/>
              <w:rPr>
                <w:rFonts w:hint="default" w:ascii="Times New Roman" w:hAnsi="Times New Roman" w:eastAsia="宋体" w:cs="Times New Roman"/>
                <w:kern w:val="0"/>
                <w:szCs w:val="21"/>
                <w:highlight w:val="none"/>
                <w:lang w:eastAsia="zh-CN"/>
              </w:rPr>
            </w:pPr>
            <w:r>
              <w:rPr>
                <w:rFonts w:hint="eastAsia" w:ascii="Times New Roman" w:hAnsi="Times New Roman" w:eastAsia="宋体" w:cs="Times New Roman"/>
                <w:color w:val="auto"/>
                <w:kern w:val="0"/>
                <w:szCs w:val="21"/>
                <w:highlight w:val="none"/>
                <w:lang w:val="en-US" w:eastAsia="zh-CN"/>
              </w:rPr>
              <w:t>污水站废水出口</w:t>
            </w:r>
          </w:p>
        </w:tc>
        <w:tc>
          <w:tcPr>
            <w:tcW w:w="885" w:type="dxa"/>
            <w:vMerge w:val="restart"/>
            <w:noWrap w:val="0"/>
            <w:vAlign w:val="center"/>
          </w:tcPr>
          <w:p w14:paraId="2DD0A0E6">
            <w:pPr>
              <w:adjustRightInd w:val="0"/>
              <w:snapToGrid w:val="0"/>
              <w:jc w:val="center"/>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2026.03.24</w:t>
            </w:r>
          </w:p>
        </w:tc>
        <w:tc>
          <w:tcPr>
            <w:tcW w:w="806" w:type="dxa"/>
            <w:vMerge w:val="restart"/>
            <w:noWrap w:val="0"/>
            <w:vAlign w:val="center"/>
          </w:tcPr>
          <w:p w14:paraId="0026BCA3">
            <w:pPr>
              <w:adjustRightInd w:val="0"/>
              <w:snapToGrid w:val="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无色、</w:t>
            </w:r>
          </w:p>
          <w:p w14:paraId="7E44035E">
            <w:pPr>
              <w:adjustRightInd w:val="0"/>
              <w:snapToGrid w:val="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无味、</w:t>
            </w:r>
          </w:p>
          <w:p w14:paraId="14B7FC29">
            <w:pPr>
              <w:adjustRightInd w:val="0"/>
              <w:snapToGrid w:val="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澄清、</w:t>
            </w:r>
          </w:p>
          <w:p w14:paraId="1537205D">
            <w:pPr>
              <w:adjustRightInd w:val="0"/>
              <w:snapToGrid w:val="0"/>
              <w:jc w:val="center"/>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无油膜</w:t>
            </w:r>
          </w:p>
        </w:tc>
        <w:tc>
          <w:tcPr>
            <w:tcW w:w="1227" w:type="dxa"/>
            <w:noWrap w:val="0"/>
            <w:vAlign w:val="center"/>
          </w:tcPr>
          <w:p w14:paraId="2BC0C45F">
            <w:pPr>
              <w:adjustRightInd w:val="0"/>
              <w:snapToGrid w:val="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pH</w:t>
            </w:r>
          </w:p>
        </w:tc>
        <w:tc>
          <w:tcPr>
            <w:tcW w:w="716" w:type="dxa"/>
            <w:noWrap w:val="0"/>
            <w:vAlign w:val="center"/>
          </w:tcPr>
          <w:p w14:paraId="360C23C0">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kern w:val="0"/>
                <w:szCs w:val="21"/>
                <w:highlight w:val="none"/>
                <w:lang w:val="en-US" w:eastAsia="zh-CN"/>
              </w:rPr>
              <w:t>无量纲</w:t>
            </w:r>
          </w:p>
        </w:tc>
        <w:tc>
          <w:tcPr>
            <w:tcW w:w="850" w:type="dxa"/>
            <w:noWrap w:val="0"/>
            <w:vAlign w:val="center"/>
          </w:tcPr>
          <w:p w14:paraId="685AD67F">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7.5（</w:t>
            </w:r>
            <w:r>
              <w:rPr>
                <w:rFonts w:hint="eastAsia" w:ascii="Times New Roman" w:hAnsi="Times New Roman" w:eastAsia="宋体" w:cs="Times New Roman"/>
                <w:kern w:val="0"/>
                <w:sz w:val="18"/>
                <w:szCs w:val="18"/>
                <w:highlight w:val="none"/>
                <w:lang w:val="en-US" w:eastAsia="zh-CN"/>
              </w:rPr>
              <w:t>16.3</w:t>
            </w:r>
            <w:r>
              <w:rPr>
                <w:rFonts w:hint="eastAsia" w:ascii="宋体" w:hAnsi="宋体" w:eastAsia="宋体" w:cs="宋体"/>
                <w:kern w:val="0"/>
                <w:sz w:val="18"/>
                <w:szCs w:val="18"/>
                <w:highlight w:val="none"/>
                <w:lang w:val="en-US" w:eastAsia="zh-CN"/>
              </w:rPr>
              <w:t>℃</w:t>
            </w:r>
            <w:r>
              <w:rPr>
                <w:rFonts w:hint="eastAsia" w:ascii="Times New Roman" w:hAnsi="Times New Roman" w:eastAsia="宋体" w:cs="Times New Roman"/>
                <w:kern w:val="0"/>
                <w:sz w:val="18"/>
                <w:szCs w:val="18"/>
                <w:highlight w:val="none"/>
                <w:lang w:val="en-US" w:eastAsia="zh-CN"/>
              </w:rPr>
              <w:t>）</w:t>
            </w:r>
          </w:p>
        </w:tc>
        <w:tc>
          <w:tcPr>
            <w:tcW w:w="901" w:type="dxa"/>
            <w:noWrap w:val="0"/>
            <w:vAlign w:val="center"/>
          </w:tcPr>
          <w:p w14:paraId="090BAFCC">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7.6</w:t>
            </w:r>
            <w:r>
              <w:rPr>
                <w:rFonts w:hint="eastAsia" w:ascii="Times New Roman" w:hAnsi="Times New Roman" w:eastAsia="宋体" w:cs="Times New Roman"/>
                <w:kern w:val="0"/>
                <w:sz w:val="18"/>
                <w:szCs w:val="18"/>
                <w:highlight w:val="none"/>
                <w:lang w:val="en-US" w:eastAsia="zh-CN"/>
              </w:rPr>
              <w:t>（16.9</w:t>
            </w:r>
            <w:r>
              <w:rPr>
                <w:rFonts w:hint="eastAsia" w:ascii="宋体" w:hAnsi="宋体" w:eastAsia="宋体" w:cs="宋体"/>
                <w:kern w:val="0"/>
                <w:sz w:val="18"/>
                <w:szCs w:val="18"/>
                <w:highlight w:val="none"/>
                <w:lang w:val="en-US" w:eastAsia="zh-CN"/>
              </w:rPr>
              <w:t>℃</w:t>
            </w:r>
            <w:r>
              <w:rPr>
                <w:rFonts w:hint="eastAsia" w:ascii="Times New Roman" w:hAnsi="Times New Roman" w:eastAsia="宋体" w:cs="Times New Roman"/>
                <w:kern w:val="0"/>
                <w:sz w:val="18"/>
                <w:szCs w:val="18"/>
                <w:highlight w:val="none"/>
                <w:lang w:val="en-US" w:eastAsia="zh-CN"/>
              </w:rPr>
              <w:t>）</w:t>
            </w:r>
          </w:p>
        </w:tc>
        <w:tc>
          <w:tcPr>
            <w:tcW w:w="855" w:type="dxa"/>
            <w:noWrap w:val="0"/>
            <w:vAlign w:val="center"/>
          </w:tcPr>
          <w:p w14:paraId="44C4C25F">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7.4（</w:t>
            </w:r>
            <w:r>
              <w:rPr>
                <w:rFonts w:hint="eastAsia" w:ascii="Times New Roman" w:hAnsi="Times New Roman" w:eastAsia="宋体" w:cs="Times New Roman"/>
                <w:kern w:val="0"/>
                <w:sz w:val="18"/>
                <w:szCs w:val="18"/>
                <w:highlight w:val="none"/>
                <w:lang w:val="en-US" w:eastAsia="zh-CN"/>
              </w:rPr>
              <w:t>17.7</w:t>
            </w:r>
            <w:r>
              <w:rPr>
                <w:rFonts w:hint="eastAsia" w:ascii="宋体" w:hAnsi="宋体" w:eastAsia="宋体" w:cs="宋体"/>
                <w:kern w:val="0"/>
                <w:sz w:val="18"/>
                <w:szCs w:val="18"/>
                <w:highlight w:val="none"/>
                <w:lang w:val="en-US" w:eastAsia="zh-CN"/>
              </w:rPr>
              <w:t>℃</w:t>
            </w:r>
            <w:r>
              <w:rPr>
                <w:rFonts w:hint="eastAsia" w:ascii="Times New Roman" w:hAnsi="Times New Roman" w:eastAsia="宋体" w:cs="Times New Roman"/>
                <w:kern w:val="0"/>
                <w:sz w:val="18"/>
                <w:szCs w:val="18"/>
                <w:highlight w:val="none"/>
                <w:lang w:val="en-US" w:eastAsia="zh-CN"/>
              </w:rPr>
              <w:t>）</w:t>
            </w:r>
          </w:p>
        </w:tc>
        <w:tc>
          <w:tcPr>
            <w:tcW w:w="794" w:type="dxa"/>
            <w:noWrap w:val="0"/>
            <w:vAlign w:val="center"/>
          </w:tcPr>
          <w:p w14:paraId="766901A1">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7.5</w:t>
            </w:r>
            <w:r>
              <w:rPr>
                <w:rFonts w:hint="eastAsia" w:ascii="Times New Roman" w:hAnsi="Times New Roman" w:eastAsia="宋体" w:cs="Times New Roman"/>
                <w:kern w:val="0"/>
                <w:sz w:val="18"/>
                <w:szCs w:val="18"/>
                <w:highlight w:val="none"/>
                <w:lang w:val="en-US" w:eastAsia="zh-CN"/>
              </w:rPr>
              <w:t>（18.2</w:t>
            </w:r>
            <w:r>
              <w:rPr>
                <w:rFonts w:hint="eastAsia" w:ascii="宋体" w:hAnsi="宋体" w:eastAsia="宋体" w:cs="宋体"/>
                <w:kern w:val="0"/>
                <w:sz w:val="18"/>
                <w:szCs w:val="18"/>
                <w:highlight w:val="none"/>
                <w:lang w:val="en-US" w:eastAsia="zh-CN"/>
              </w:rPr>
              <w:t>℃</w:t>
            </w:r>
            <w:r>
              <w:rPr>
                <w:rFonts w:hint="eastAsia" w:ascii="Times New Roman" w:hAnsi="Times New Roman" w:eastAsia="宋体" w:cs="Times New Roman"/>
                <w:kern w:val="0"/>
                <w:sz w:val="18"/>
                <w:szCs w:val="18"/>
                <w:highlight w:val="none"/>
                <w:lang w:val="en-US" w:eastAsia="zh-CN"/>
              </w:rPr>
              <w:t>）</w:t>
            </w:r>
          </w:p>
        </w:tc>
        <w:tc>
          <w:tcPr>
            <w:tcW w:w="850" w:type="dxa"/>
            <w:noWrap w:val="0"/>
            <w:vAlign w:val="center"/>
          </w:tcPr>
          <w:p w14:paraId="2643DCA0">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7.4~7.6</w:t>
            </w:r>
          </w:p>
        </w:tc>
      </w:tr>
      <w:tr w14:paraId="63FDF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15" w:type="dxa"/>
            <w:vMerge w:val="continue"/>
            <w:noWrap w:val="0"/>
            <w:vAlign w:val="center"/>
          </w:tcPr>
          <w:p w14:paraId="1C39C06A">
            <w:pPr>
              <w:adjustRightInd w:val="0"/>
              <w:snapToGrid w:val="0"/>
              <w:jc w:val="center"/>
              <w:rPr>
                <w:rFonts w:hint="default" w:ascii="Times New Roman" w:hAnsi="Times New Roman" w:eastAsia="宋体" w:cs="Times New Roman"/>
                <w:kern w:val="0"/>
                <w:szCs w:val="21"/>
                <w:highlight w:val="none"/>
                <w:lang w:eastAsia="zh-CN"/>
              </w:rPr>
            </w:pPr>
          </w:p>
        </w:tc>
        <w:tc>
          <w:tcPr>
            <w:tcW w:w="885" w:type="dxa"/>
            <w:vMerge w:val="continue"/>
            <w:noWrap w:val="0"/>
            <w:vAlign w:val="center"/>
          </w:tcPr>
          <w:p w14:paraId="71030FF5">
            <w:pPr>
              <w:adjustRightInd w:val="0"/>
              <w:snapToGrid w:val="0"/>
              <w:jc w:val="center"/>
              <w:rPr>
                <w:rFonts w:hint="default" w:ascii="Times New Roman" w:hAnsi="Times New Roman" w:eastAsia="宋体" w:cs="Times New Roman"/>
                <w:kern w:val="0"/>
                <w:szCs w:val="21"/>
                <w:highlight w:val="none"/>
                <w:lang w:val="en-US" w:eastAsia="zh-CN"/>
              </w:rPr>
            </w:pPr>
          </w:p>
        </w:tc>
        <w:tc>
          <w:tcPr>
            <w:tcW w:w="806" w:type="dxa"/>
            <w:vMerge w:val="continue"/>
            <w:noWrap w:val="0"/>
            <w:vAlign w:val="center"/>
          </w:tcPr>
          <w:p w14:paraId="1FBF7D91">
            <w:pPr>
              <w:adjustRightInd w:val="0"/>
              <w:snapToGrid w:val="0"/>
              <w:jc w:val="center"/>
              <w:rPr>
                <w:rFonts w:hint="default" w:ascii="Times New Roman" w:hAnsi="Times New Roman" w:eastAsia="宋体" w:cs="Times New Roman"/>
                <w:kern w:val="0"/>
                <w:szCs w:val="21"/>
                <w:highlight w:val="none"/>
                <w:lang w:val="en-US" w:eastAsia="zh-CN"/>
              </w:rPr>
            </w:pPr>
          </w:p>
        </w:tc>
        <w:tc>
          <w:tcPr>
            <w:tcW w:w="1227" w:type="dxa"/>
            <w:noWrap w:val="0"/>
            <w:vAlign w:val="center"/>
          </w:tcPr>
          <w:p w14:paraId="4DCD6E5A">
            <w:pPr>
              <w:adjustRightInd w:val="0"/>
              <w:snapToGrid w:val="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化学需氧量</w:t>
            </w:r>
          </w:p>
        </w:tc>
        <w:tc>
          <w:tcPr>
            <w:tcW w:w="716" w:type="dxa"/>
            <w:noWrap w:val="0"/>
            <w:vAlign w:val="center"/>
          </w:tcPr>
          <w:p w14:paraId="032A4725">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kern w:val="0"/>
                <w:szCs w:val="21"/>
                <w:highlight w:val="none"/>
                <w:lang w:val="en-US" w:eastAsia="zh-CN"/>
              </w:rPr>
              <w:t>mg/L</w:t>
            </w:r>
          </w:p>
        </w:tc>
        <w:tc>
          <w:tcPr>
            <w:tcW w:w="850" w:type="dxa"/>
            <w:noWrap w:val="0"/>
            <w:vAlign w:val="center"/>
          </w:tcPr>
          <w:p w14:paraId="5690CB68">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22</w:t>
            </w:r>
          </w:p>
        </w:tc>
        <w:tc>
          <w:tcPr>
            <w:tcW w:w="901" w:type="dxa"/>
            <w:noWrap w:val="0"/>
            <w:vAlign w:val="center"/>
          </w:tcPr>
          <w:p w14:paraId="3BFFF17A">
            <w:pPr>
              <w:adjustRightInd w:val="0"/>
              <w:snapToGrid w:val="0"/>
              <w:jc w:val="center"/>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24</w:t>
            </w:r>
          </w:p>
        </w:tc>
        <w:tc>
          <w:tcPr>
            <w:tcW w:w="855" w:type="dxa"/>
            <w:noWrap w:val="0"/>
            <w:vAlign w:val="center"/>
          </w:tcPr>
          <w:p w14:paraId="75C4DB67">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23</w:t>
            </w:r>
          </w:p>
        </w:tc>
        <w:tc>
          <w:tcPr>
            <w:tcW w:w="794" w:type="dxa"/>
            <w:noWrap w:val="0"/>
            <w:vAlign w:val="center"/>
          </w:tcPr>
          <w:p w14:paraId="36CEF269">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23</w:t>
            </w:r>
          </w:p>
        </w:tc>
        <w:tc>
          <w:tcPr>
            <w:tcW w:w="850" w:type="dxa"/>
            <w:noWrap w:val="0"/>
            <w:vAlign w:val="center"/>
          </w:tcPr>
          <w:p w14:paraId="48491329">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fldChar w:fldCharType="begin"/>
            </w:r>
            <w:r>
              <w:rPr>
                <w:rFonts w:hint="default" w:ascii="Times New Roman" w:hAnsi="Times New Roman" w:eastAsia="宋体" w:cs="Times New Roman"/>
                <w:kern w:val="0"/>
                <w:szCs w:val="21"/>
                <w:highlight w:val="none"/>
                <w:lang w:val="en-US" w:eastAsia="zh-CN"/>
              </w:rPr>
              <w:instrText xml:space="preserve"> = average(F12:I12) \* MERGEFORMAT </w:instrText>
            </w:r>
            <w:r>
              <w:rPr>
                <w:rFonts w:hint="default" w:ascii="Times New Roman" w:hAnsi="Times New Roman" w:eastAsia="宋体" w:cs="Times New Roman"/>
                <w:kern w:val="0"/>
                <w:szCs w:val="21"/>
                <w:highlight w:val="none"/>
                <w:lang w:val="en-US" w:eastAsia="zh-CN"/>
              </w:rPr>
              <w:fldChar w:fldCharType="separate"/>
            </w:r>
            <w:r>
              <w:rPr>
                <w:rFonts w:hint="default" w:ascii="Times New Roman" w:hAnsi="Times New Roman" w:eastAsia="宋体" w:cs="Times New Roman"/>
                <w:kern w:val="0"/>
                <w:szCs w:val="21"/>
                <w:highlight w:val="none"/>
                <w:lang w:val="en-US" w:eastAsia="zh-CN"/>
              </w:rPr>
              <w:t>23</w:t>
            </w:r>
            <w:r>
              <w:rPr>
                <w:rFonts w:hint="default" w:ascii="Times New Roman" w:hAnsi="Times New Roman" w:eastAsia="宋体" w:cs="Times New Roman"/>
                <w:kern w:val="0"/>
                <w:szCs w:val="21"/>
                <w:highlight w:val="none"/>
                <w:lang w:val="en-US" w:eastAsia="zh-CN"/>
              </w:rPr>
              <w:fldChar w:fldCharType="end"/>
            </w:r>
          </w:p>
        </w:tc>
      </w:tr>
      <w:tr w14:paraId="37861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15" w:type="dxa"/>
            <w:vMerge w:val="continue"/>
            <w:noWrap w:val="0"/>
            <w:vAlign w:val="center"/>
          </w:tcPr>
          <w:p w14:paraId="36B90D09">
            <w:pPr>
              <w:adjustRightInd w:val="0"/>
              <w:snapToGrid w:val="0"/>
              <w:jc w:val="center"/>
              <w:rPr>
                <w:rFonts w:hint="default" w:ascii="Times New Roman" w:hAnsi="Times New Roman" w:eastAsia="宋体" w:cs="Times New Roman"/>
                <w:kern w:val="0"/>
                <w:szCs w:val="21"/>
                <w:highlight w:val="none"/>
                <w:lang w:eastAsia="zh-CN"/>
              </w:rPr>
            </w:pPr>
          </w:p>
        </w:tc>
        <w:tc>
          <w:tcPr>
            <w:tcW w:w="885" w:type="dxa"/>
            <w:vMerge w:val="continue"/>
            <w:noWrap w:val="0"/>
            <w:vAlign w:val="center"/>
          </w:tcPr>
          <w:p w14:paraId="163AAE56">
            <w:pPr>
              <w:adjustRightInd w:val="0"/>
              <w:snapToGrid w:val="0"/>
              <w:jc w:val="center"/>
              <w:rPr>
                <w:rFonts w:hint="default" w:ascii="Times New Roman" w:hAnsi="Times New Roman" w:eastAsia="宋体" w:cs="Times New Roman"/>
                <w:kern w:val="0"/>
                <w:szCs w:val="21"/>
                <w:highlight w:val="none"/>
                <w:lang w:val="en-US" w:eastAsia="zh-CN"/>
              </w:rPr>
            </w:pPr>
          </w:p>
        </w:tc>
        <w:tc>
          <w:tcPr>
            <w:tcW w:w="806" w:type="dxa"/>
            <w:vMerge w:val="continue"/>
            <w:noWrap w:val="0"/>
            <w:vAlign w:val="center"/>
          </w:tcPr>
          <w:p w14:paraId="7586228A">
            <w:pPr>
              <w:adjustRightInd w:val="0"/>
              <w:snapToGrid w:val="0"/>
              <w:jc w:val="center"/>
              <w:rPr>
                <w:rFonts w:hint="default" w:ascii="Times New Roman" w:hAnsi="Times New Roman" w:eastAsia="宋体" w:cs="Times New Roman"/>
                <w:kern w:val="0"/>
                <w:szCs w:val="21"/>
                <w:highlight w:val="none"/>
                <w:lang w:val="en-US" w:eastAsia="zh-CN"/>
              </w:rPr>
            </w:pPr>
          </w:p>
        </w:tc>
        <w:tc>
          <w:tcPr>
            <w:tcW w:w="1227" w:type="dxa"/>
            <w:noWrap w:val="0"/>
            <w:vAlign w:val="center"/>
          </w:tcPr>
          <w:p w14:paraId="693CB63C">
            <w:pPr>
              <w:adjustRightInd w:val="0"/>
              <w:snapToGrid w:val="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五日生化需氧量</w:t>
            </w:r>
          </w:p>
        </w:tc>
        <w:tc>
          <w:tcPr>
            <w:tcW w:w="716" w:type="dxa"/>
            <w:noWrap w:val="0"/>
            <w:vAlign w:val="center"/>
          </w:tcPr>
          <w:p w14:paraId="66622379">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kern w:val="0"/>
                <w:szCs w:val="21"/>
                <w:highlight w:val="none"/>
                <w:lang w:val="en-US" w:eastAsia="zh-CN"/>
              </w:rPr>
              <w:t>mg/L</w:t>
            </w:r>
          </w:p>
        </w:tc>
        <w:tc>
          <w:tcPr>
            <w:tcW w:w="850" w:type="dxa"/>
            <w:noWrap w:val="0"/>
            <w:vAlign w:val="center"/>
          </w:tcPr>
          <w:p w14:paraId="2C315C94">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7.6</w:t>
            </w:r>
          </w:p>
        </w:tc>
        <w:tc>
          <w:tcPr>
            <w:tcW w:w="901" w:type="dxa"/>
            <w:noWrap w:val="0"/>
            <w:vAlign w:val="center"/>
          </w:tcPr>
          <w:p w14:paraId="4D15FEFC">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7.3</w:t>
            </w:r>
          </w:p>
        </w:tc>
        <w:tc>
          <w:tcPr>
            <w:tcW w:w="855" w:type="dxa"/>
            <w:noWrap w:val="0"/>
            <w:vAlign w:val="center"/>
          </w:tcPr>
          <w:p w14:paraId="5C61300B">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7.6</w:t>
            </w:r>
          </w:p>
        </w:tc>
        <w:tc>
          <w:tcPr>
            <w:tcW w:w="794" w:type="dxa"/>
            <w:noWrap w:val="0"/>
            <w:vAlign w:val="center"/>
          </w:tcPr>
          <w:p w14:paraId="7388AE84">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7.5</w:t>
            </w:r>
          </w:p>
        </w:tc>
        <w:tc>
          <w:tcPr>
            <w:tcW w:w="850" w:type="dxa"/>
            <w:noWrap w:val="0"/>
            <w:vAlign w:val="center"/>
          </w:tcPr>
          <w:p w14:paraId="2F67B8DC">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fldChar w:fldCharType="begin"/>
            </w:r>
            <w:r>
              <w:rPr>
                <w:rFonts w:hint="default" w:ascii="Times New Roman" w:hAnsi="Times New Roman" w:eastAsia="宋体" w:cs="Times New Roman"/>
                <w:kern w:val="0"/>
                <w:szCs w:val="21"/>
                <w:highlight w:val="none"/>
                <w:lang w:val="en-US" w:eastAsia="zh-CN"/>
              </w:rPr>
              <w:instrText xml:space="preserve"> = average(F13:I13) \* MERGEFORMAT </w:instrText>
            </w:r>
            <w:r>
              <w:rPr>
                <w:rFonts w:hint="default" w:ascii="Times New Roman" w:hAnsi="Times New Roman" w:eastAsia="宋体" w:cs="Times New Roman"/>
                <w:kern w:val="0"/>
                <w:szCs w:val="21"/>
                <w:highlight w:val="none"/>
                <w:lang w:val="en-US" w:eastAsia="zh-CN"/>
              </w:rPr>
              <w:fldChar w:fldCharType="separate"/>
            </w:r>
            <w:r>
              <w:rPr>
                <w:rFonts w:hint="default" w:ascii="Times New Roman" w:hAnsi="Times New Roman" w:eastAsia="宋体" w:cs="Times New Roman"/>
                <w:kern w:val="0"/>
                <w:szCs w:val="21"/>
                <w:highlight w:val="none"/>
                <w:lang w:val="en-US" w:eastAsia="zh-CN"/>
              </w:rPr>
              <w:t>7.5</w:t>
            </w:r>
            <w:r>
              <w:rPr>
                <w:rFonts w:hint="default" w:ascii="Times New Roman" w:hAnsi="Times New Roman" w:eastAsia="宋体" w:cs="Times New Roman"/>
                <w:kern w:val="0"/>
                <w:szCs w:val="21"/>
                <w:highlight w:val="none"/>
                <w:lang w:val="en-US" w:eastAsia="zh-CN"/>
              </w:rPr>
              <w:fldChar w:fldCharType="end"/>
            </w:r>
          </w:p>
        </w:tc>
      </w:tr>
      <w:tr w14:paraId="44A33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15" w:type="dxa"/>
            <w:vMerge w:val="continue"/>
            <w:noWrap w:val="0"/>
            <w:vAlign w:val="center"/>
          </w:tcPr>
          <w:p w14:paraId="445EF4C6">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kern w:val="0"/>
                <w:szCs w:val="21"/>
                <w:highlight w:val="none"/>
                <w:lang w:eastAsia="zh-CN"/>
              </w:rPr>
            </w:pPr>
          </w:p>
        </w:tc>
        <w:tc>
          <w:tcPr>
            <w:tcW w:w="885" w:type="dxa"/>
            <w:vMerge w:val="continue"/>
            <w:noWrap w:val="0"/>
            <w:vAlign w:val="center"/>
          </w:tcPr>
          <w:p w14:paraId="6342FE3B">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p>
        </w:tc>
        <w:tc>
          <w:tcPr>
            <w:tcW w:w="806" w:type="dxa"/>
            <w:vMerge w:val="continue"/>
            <w:noWrap w:val="0"/>
            <w:vAlign w:val="center"/>
          </w:tcPr>
          <w:p w14:paraId="50F45F7D">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kern w:val="0"/>
                <w:szCs w:val="21"/>
                <w:highlight w:val="none"/>
                <w:lang w:val="en-US" w:eastAsia="zh-CN"/>
              </w:rPr>
            </w:pPr>
          </w:p>
        </w:tc>
        <w:tc>
          <w:tcPr>
            <w:tcW w:w="1227" w:type="dxa"/>
            <w:noWrap w:val="0"/>
            <w:vAlign w:val="center"/>
          </w:tcPr>
          <w:p w14:paraId="364452CB">
            <w:pPr>
              <w:adjustRightInd w:val="0"/>
              <w:snapToGrid w:val="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氨氮</w:t>
            </w:r>
          </w:p>
        </w:tc>
        <w:tc>
          <w:tcPr>
            <w:tcW w:w="716" w:type="dxa"/>
            <w:noWrap w:val="0"/>
            <w:vAlign w:val="center"/>
          </w:tcPr>
          <w:p w14:paraId="13A4C071">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mg/L</w:t>
            </w:r>
          </w:p>
        </w:tc>
        <w:tc>
          <w:tcPr>
            <w:tcW w:w="850" w:type="dxa"/>
            <w:noWrap w:val="0"/>
            <w:vAlign w:val="center"/>
          </w:tcPr>
          <w:p w14:paraId="1B9F3E43">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3.43</w:t>
            </w:r>
          </w:p>
        </w:tc>
        <w:tc>
          <w:tcPr>
            <w:tcW w:w="901" w:type="dxa"/>
            <w:noWrap w:val="0"/>
            <w:vAlign w:val="center"/>
          </w:tcPr>
          <w:p w14:paraId="692C2BD2">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3.66</w:t>
            </w:r>
          </w:p>
        </w:tc>
        <w:tc>
          <w:tcPr>
            <w:tcW w:w="855" w:type="dxa"/>
            <w:noWrap w:val="0"/>
            <w:vAlign w:val="center"/>
          </w:tcPr>
          <w:p w14:paraId="0E852F9A">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3.42</w:t>
            </w:r>
          </w:p>
        </w:tc>
        <w:tc>
          <w:tcPr>
            <w:tcW w:w="794" w:type="dxa"/>
            <w:noWrap w:val="0"/>
            <w:vAlign w:val="center"/>
          </w:tcPr>
          <w:p w14:paraId="40F83685">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3.52</w:t>
            </w:r>
          </w:p>
        </w:tc>
        <w:tc>
          <w:tcPr>
            <w:tcW w:w="850" w:type="dxa"/>
            <w:noWrap w:val="0"/>
            <w:vAlign w:val="center"/>
          </w:tcPr>
          <w:p w14:paraId="240D7E59">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fldChar w:fldCharType="begin"/>
            </w:r>
            <w:r>
              <w:rPr>
                <w:rFonts w:hint="default" w:ascii="Times New Roman" w:hAnsi="Times New Roman" w:eastAsia="宋体" w:cs="Times New Roman"/>
                <w:kern w:val="0"/>
                <w:szCs w:val="21"/>
                <w:highlight w:val="none"/>
                <w:lang w:val="en-US" w:eastAsia="zh-CN"/>
              </w:rPr>
              <w:instrText xml:space="preserve"> = average(F14:I14) \* MERGEFORMAT </w:instrText>
            </w:r>
            <w:r>
              <w:rPr>
                <w:rFonts w:hint="default" w:ascii="Times New Roman" w:hAnsi="Times New Roman" w:eastAsia="宋体" w:cs="Times New Roman"/>
                <w:kern w:val="0"/>
                <w:szCs w:val="21"/>
                <w:highlight w:val="none"/>
                <w:lang w:val="en-US" w:eastAsia="zh-CN"/>
              </w:rPr>
              <w:fldChar w:fldCharType="separate"/>
            </w:r>
            <w:r>
              <w:rPr>
                <w:rFonts w:hint="default" w:ascii="Times New Roman" w:hAnsi="Times New Roman" w:eastAsia="宋体" w:cs="Times New Roman"/>
                <w:kern w:val="0"/>
                <w:szCs w:val="21"/>
                <w:highlight w:val="none"/>
                <w:lang w:val="en-US" w:eastAsia="zh-CN"/>
              </w:rPr>
              <w:t>3.5</w:t>
            </w:r>
            <w:r>
              <w:rPr>
                <w:rFonts w:hint="eastAsia" w:ascii="Times New Roman" w:hAnsi="Times New Roman" w:eastAsia="宋体" w:cs="Times New Roman"/>
                <w:kern w:val="0"/>
                <w:szCs w:val="21"/>
                <w:highlight w:val="none"/>
                <w:lang w:val="en-US" w:eastAsia="zh-CN"/>
              </w:rPr>
              <w:t>1</w:t>
            </w:r>
            <w:r>
              <w:rPr>
                <w:rFonts w:hint="default" w:ascii="Times New Roman" w:hAnsi="Times New Roman" w:eastAsia="宋体" w:cs="Times New Roman"/>
                <w:kern w:val="0"/>
                <w:szCs w:val="21"/>
                <w:highlight w:val="none"/>
                <w:lang w:val="en-US" w:eastAsia="zh-CN"/>
              </w:rPr>
              <w:fldChar w:fldCharType="end"/>
            </w:r>
          </w:p>
        </w:tc>
      </w:tr>
      <w:tr w14:paraId="03115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15" w:type="dxa"/>
            <w:vMerge w:val="continue"/>
            <w:noWrap w:val="0"/>
            <w:vAlign w:val="center"/>
          </w:tcPr>
          <w:p w14:paraId="21585316">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kern w:val="0"/>
                <w:szCs w:val="21"/>
                <w:highlight w:val="none"/>
                <w:lang w:eastAsia="zh-CN"/>
              </w:rPr>
            </w:pPr>
          </w:p>
        </w:tc>
        <w:tc>
          <w:tcPr>
            <w:tcW w:w="885" w:type="dxa"/>
            <w:vMerge w:val="continue"/>
            <w:noWrap w:val="0"/>
            <w:vAlign w:val="center"/>
          </w:tcPr>
          <w:p w14:paraId="10AD8BD7">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p>
        </w:tc>
        <w:tc>
          <w:tcPr>
            <w:tcW w:w="806" w:type="dxa"/>
            <w:vMerge w:val="continue"/>
            <w:noWrap w:val="0"/>
            <w:vAlign w:val="center"/>
          </w:tcPr>
          <w:p w14:paraId="2E621D73">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kern w:val="0"/>
                <w:szCs w:val="21"/>
                <w:highlight w:val="none"/>
                <w:lang w:val="en-US" w:eastAsia="zh-CN"/>
              </w:rPr>
            </w:pPr>
          </w:p>
        </w:tc>
        <w:tc>
          <w:tcPr>
            <w:tcW w:w="1227" w:type="dxa"/>
            <w:noWrap w:val="0"/>
            <w:vAlign w:val="center"/>
          </w:tcPr>
          <w:p w14:paraId="330B0DEE">
            <w:pPr>
              <w:adjustRightInd w:val="0"/>
              <w:snapToGrid w:val="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kern w:val="0"/>
                <w:szCs w:val="21"/>
                <w:highlight w:val="none"/>
                <w:lang w:val="en-US" w:eastAsia="zh-CN"/>
              </w:rPr>
              <w:t>石油类</w:t>
            </w:r>
          </w:p>
        </w:tc>
        <w:tc>
          <w:tcPr>
            <w:tcW w:w="716" w:type="dxa"/>
            <w:noWrap w:val="0"/>
            <w:vAlign w:val="center"/>
          </w:tcPr>
          <w:p w14:paraId="4823CC46">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mg/L</w:t>
            </w:r>
          </w:p>
        </w:tc>
        <w:tc>
          <w:tcPr>
            <w:tcW w:w="850" w:type="dxa"/>
            <w:noWrap w:val="0"/>
            <w:vAlign w:val="center"/>
          </w:tcPr>
          <w:p w14:paraId="17EB992C">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0.52</w:t>
            </w:r>
          </w:p>
        </w:tc>
        <w:tc>
          <w:tcPr>
            <w:tcW w:w="901" w:type="dxa"/>
            <w:noWrap w:val="0"/>
            <w:vAlign w:val="center"/>
          </w:tcPr>
          <w:p w14:paraId="40B131A3">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0.58</w:t>
            </w:r>
          </w:p>
        </w:tc>
        <w:tc>
          <w:tcPr>
            <w:tcW w:w="855" w:type="dxa"/>
            <w:noWrap w:val="0"/>
            <w:vAlign w:val="center"/>
          </w:tcPr>
          <w:p w14:paraId="22B487CA">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0.53</w:t>
            </w:r>
          </w:p>
        </w:tc>
        <w:tc>
          <w:tcPr>
            <w:tcW w:w="794" w:type="dxa"/>
            <w:noWrap w:val="0"/>
            <w:vAlign w:val="center"/>
          </w:tcPr>
          <w:p w14:paraId="7AE3612E">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0.56</w:t>
            </w:r>
          </w:p>
        </w:tc>
        <w:tc>
          <w:tcPr>
            <w:tcW w:w="850" w:type="dxa"/>
            <w:noWrap w:val="0"/>
            <w:vAlign w:val="center"/>
          </w:tcPr>
          <w:p w14:paraId="4B259437">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fldChar w:fldCharType="begin"/>
            </w:r>
            <w:r>
              <w:rPr>
                <w:rFonts w:hint="default" w:ascii="Times New Roman" w:hAnsi="Times New Roman" w:eastAsia="宋体" w:cs="Times New Roman"/>
                <w:kern w:val="0"/>
                <w:szCs w:val="21"/>
                <w:highlight w:val="none"/>
                <w:lang w:val="en-US" w:eastAsia="zh-CN"/>
              </w:rPr>
              <w:instrText xml:space="preserve"> = average(F15:I15) \* MERGEFORMAT </w:instrText>
            </w:r>
            <w:r>
              <w:rPr>
                <w:rFonts w:hint="default" w:ascii="Times New Roman" w:hAnsi="Times New Roman" w:eastAsia="宋体" w:cs="Times New Roman"/>
                <w:kern w:val="0"/>
                <w:szCs w:val="21"/>
                <w:highlight w:val="none"/>
                <w:lang w:val="en-US" w:eastAsia="zh-CN"/>
              </w:rPr>
              <w:fldChar w:fldCharType="separate"/>
            </w:r>
            <w:r>
              <w:rPr>
                <w:rFonts w:hint="default" w:ascii="Times New Roman" w:hAnsi="Times New Roman" w:eastAsia="宋体" w:cs="Times New Roman"/>
                <w:kern w:val="0"/>
                <w:szCs w:val="21"/>
                <w:highlight w:val="none"/>
                <w:lang w:val="en-US" w:eastAsia="zh-CN"/>
              </w:rPr>
              <w:t>0.5</w:t>
            </w:r>
            <w:r>
              <w:rPr>
                <w:rFonts w:hint="eastAsia" w:ascii="Times New Roman" w:hAnsi="Times New Roman" w:eastAsia="宋体" w:cs="Times New Roman"/>
                <w:kern w:val="0"/>
                <w:szCs w:val="21"/>
                <w:highlight w:val="none"/>
                <w:lang w:val="en-US" w:eastAsia="zh-CN"/>
              </w:rPr>
              <w:t>5</w:t>
            </w:r>
            <w:r>
              <w:rPr>
                <w:rFonts w:hint="default" w:ascii="Times New Roman" w:hAnsi="Times New Roman" w:eastAsia="宋体" w:cs="Times New Roman"/>
                <w:kern w:val="0"/>
                <w:szCs w:val="21"/>
                <w:highlight w:val="none"/>
                <w:lang w:val="en-US" w:eastAsia="zh-CN"/>
              </w:rPr>
              <w:fldChar w:fldCharType="end"/>
            </w:r>
          </w:p>
        </w:tc>
      </w:tr>
      <w:tr w14:paraId="4340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15" w:type="dxa"/>
            <w:vMerge w:val="continue"/>
            <w:noWrap w:val="0"/>
            <w:vAlign w:val="center"/>
          </w:tcPr>
          <w:p w14:paraId="5789C6F7">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kern w:val="0"/>
                <w:szCs w:val="21"/>
                <w:highlight w:val="none"/>
                <w:lang w:eastAsia="zh-CN"/>
              </w:rPr>
            </w:pPr>
          </w:p>
        </w:tc>
        <w:tc>
          <w:tcPr>
            <w:tcW w:w="885" w:type="dxa"/>
            <w:vMerge w:val="continue"/>
            <w:noWrap w:val="0"/>
            <w:vAlign w:val="center"/>
          </w:tcPr>
          <w:p w14:paraId="09F5B429">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p>
        </w:tc>
        <w:tc>
          <w:tcPr>
            <w:tcW w:w="806" w:type="dxa"/>
            <w:vMerge w:val="continue"/>
            <w:noWrap w:val="0"/>
            <w:vAlign w:val="center"/>
          </w:tcPr>
          <w:p w14:paraId="2E765AC6">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kern w:val="0"/>
                <w:szCs w:val="21"/>
                <w:highlight w:val="none"/>
                <w:lang w:val="en-US" w:eastAsia="zh-CN"/>
              </w:rPr>
            </w:pPr>
          </w:p>
        </w:tc>
        <w:tc>
          <w:tcPr>
            <w:tcW w:w="1227" w:type="dxa"/>
            <w:noWrap w:val="0"/>
            <w:vAlign w:val="center"/>
          </w:tcPr>
          <w:p w14:paraId="5505AE34">
            <w:pPr>
              <w:snapToGrid w:val="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氟化物</w:t>
            </w:r>
          </w:p>
        </w:tc>
        <w:tc>
          <w:tcPr>
            <w:tcW w:w="716" w:type="dxa"/>
            <w:noWrap w:val="0"/>
            <w:vAlign w:val="center"/>
          </w:tcPr>
          <w:p w14:paraId="430CDB79">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mg/L</w:t>
            </w:r>
          </w:p>
        </w:tc>
        <w:tc>
          <w:tcPr>
            <w:tcW w:w="850" w:type="dxa"/>
            <w:noWrap w:val="0"/>
            <w:vAlign w:val="center"/>
          </w:tcPr>
          <w:p w14:paraId="6A679662">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1.32</w:t>
            </w:r>
          </w:p>
        </w:tc>
        <w:tc>
          <w:tcPr>
            <w:tcW w:w="901" w:type="dxa"/>
            <w:noWrap w:val="0"/>
            <w:vAlign w:val="center"/>
          </w:tcPr>
          <w:p w14:paraId="49E93C90">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1.11</w:t>
            </w:r>
          </w:p>
        </w:tc>
        <w:tc>
          <w:tcPr>
            <w:tcW w:w="855" w:type="dxa"/>
            <w:noWrap w:val="0"/>
            <w:vAlign w:val="center"/>
          </w:tcPr>
          <w:p w14:paraId="09876722">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1.04</w:t>
            </w:r>
          </w:p>
        </w:tc>
        <w:tc>
          <w:tcPr>
            <w:tcW w:w="794" w:type="dxa"/>
            <w:noWrap w:val="0"/>
            <w:vAlign w:val="center"/>
          </w:tcPr>
          <w:p w14:paraId="0ED7D737">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1.24</w:t>
            </w:r>
          </w:p>
        </w:tc>
        <w:tc>
          <w:tcPr>
            <w:tcW w:w="850" w:type="dxa"/>
            <w:noWrap w:val="0"/>
            <w:vAlign w:val="center"/>
          </w:tcPr>
          <w:p w14:paraId="7B93E1E1">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fldChar w:fldCharType="begin"/>
            </w:r>
            <w:r>
              <w:rPr>
                <w:rFonts w:hint="default" w:ascii="Times New Roman" w:hAnsi="Times New Roman" w:eastAsia="宋体" w:cs="Times New Roman"/>
                <w:kern w:val="0"/>
                <w:szCs w:val="21"/>
                <w:highlight w:val="none"/>
                <w:lang w:val="en-US" w:eastAsia="zh-CN"/>
              </w:rPr>
              <w:instrText xml:space="preserve"> = average(F16:I16) \* MERGEFORMAT </w:instrText>
            </w:r>
            <w:r>
              <w:rPr>
                <w:rFonts w:hint="default" w:ascii="Times New Roman" w:hAnsi="Times New Roman" w:eastAsia="宋体" w:cs="Times New Roman"/>
                <w:kern w:val="0"/>
                <w:szCs w:val="21"/>
                <w:highlight w:val="none"/>
                <w:lang w:val="en-US" w:eastAsia="zh-CN"/>
              </w:rPr>
              <w:fldChar w:fldCharType="separate"/>
            </w:r>
            <w:r>
              <w:rPr>
                <w:rFonts w:hint="default" w:ascii="Times New Roman" w:hAnsi="Times New Roman" w:eastAsia="宋体" w:cs="Times New Roman"/>
                <w:kern w:val="0"/>
                <w:szCs w:val="21"/>
                <w:highlight w:val="none"/>
                <w:lang w:val="en-US" w:eastAsia="zh-CN"/>
              </w:rPr>
              <w:t>1.1775</w:t>
            </w:r>
            <w:r>
              <w:rPr>
                <w:rFonts w:hint="default" w:ascii="Times New Roman" w:hAnsi="Times New Roman" w:eastAsia="宋体" w:cs="Times New Roman"/>
                <w:kern w:val="0"/>
                <w:szCs w:val="21"/>
                <w:highlight w:val="none"/>
                <w:lang w:val="en-US" w:eastAsia="zh-CN"/>
              </w:rPr>
              <w:fldChar w:fldCharType="end"/>
            </w:r>
          </w:p>
        </w:tc>
      </w:tr>
      <w:tr w14:paraId="32A2F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15" w:type="dxa"/>
            <w:vMerge w:val="continue"/>
            <w:noWrap w:val="0"/>
            <w:vAlign w:val="center"/>
          </w:tcPr>
          <w:p w14:paraId="2A41C838">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kern w:val="0"/>
                <w:szCs w:val="21"/>
                <w:highlight w:val="none"/>
                <w:lang w:eastAsia="zh-CN"/>
              </w:rPr>
            </w:pPr>
          </w:p>
        </w:tc>
        <w:tc>
          <w:tcPr>
            <w:tcW w:w="885" w:type="dxa"/>
            <w:vMerge w:val="continue"/>
            <w:noWrap w:val="0"/>
            <w:vAlign w:val="center"/>
          </w:tcPr>
          <w:p w14:paraId="2E7C9D72">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p>
        </w:tc>
        <w:tc>
          <w:tcPr>
            <w:tcW w:w="806" w:type="dxa"/>
            <w:vMerge w:val="continue"/>
            <w:noWrap w:val="0"/>
            <w:vAlign w:val="center"/>
          </w:tcPr>
          <w:p w14:paraId="4BC0280E">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kern w:val="0"/>
                <w:szCs w:val="21"/>
                <w:highlight w:val="none"/>
                <w:lang w:val="en-US" w:eastAsia="zh-CN"/>
              </w:rPr>
            </w:pPr>
          </w:p>
        </w:tc>
        <w:tc>
          <w:tcPr>
            <w:tcW w:w="1227" w:type="dxa"/>
            <w:noWrap w:val="0"/>
            <w:vAlign w:val="center"/>
          </w:tcPr>
          <w:p w14:paraId="2D06B0D0">
            <w:pPr>
              <w:snapToGrid w:val="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阴离子表面活性剂</w:t>
            </w:r>
          </w:p>
        </w:tc>
        <w:tc>
          <w:tcPr>
            <w:tcW w:w="716" w:type="dxa"/>
            <w:noWrap w:val="0"/>
            <w:vAlign w:val="center"/>
          </w:tcPr>
          <w:p w14:paraId="12D23087">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mg/L</w:t>
            </w:r>
          </w:p>
        </w:tc>
        <w:tc>
          <w:tcPr>
            <w:tcW w:w="850" w:type="dxa"/>
            <w:noWrap w:val="0"/>
            <w:vAlign w:val="center"/>
          </w:tcPr>
          <w:p w14:paraId="520D9E69">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0.05L</w:t>
            </w:r>
          </w:p>
        </w:tc>
        <w:tc>
          <w:tcPr>
            <w:tcW w:w="901" w:type="dxa"/>
            <w:noWrap w:val="0"/>
            <w:vAlign w:val="center"/>
          </w:tcPr>
          <w:p w14:paraId="3C1CF68D">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eastAsia"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0.05L</w:t>
            </w:r>
          </w:p>
        </w:tc>
        <w:tc>
          <w:tcPr>
            <w:tcW w:w="855" w:type="dxa"/>
            <w:noWrap w:val="0"/>
            <w:vAlign w:val="center"/>
          </w:tcPr>
          <w:p w14:paraId="1738ABF3">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eastAsia"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0.05L</w:t>
            </w:r>
          </w:p>
        </w:tc>
        <w:tc>
          <w:tcPr>
            <w:tcW w:w="794" w:type="dxa"/>
            <w:noWrap w:val="0"/>
            <w:vAlign w:val="center"/>
          </w:tcPr>
          <w:p w14:paraId="2F05984A">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eastAsia"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0.05L</w:t>
            </w:r>
          </w:p>
        </w:tc>
        <w:tc>
          <w:tcPr>
            <w:tcW w:w="850" w:type="dxa"/>
            <w:noWrap w:val="0"/>
            <w:vAlign w:val="center"/>
          </w:tcPr>
          <w:p w14:paraId="799ED265">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0.05L</w:t>
            </w:r>
          </w:p>
        </w:tc>
      </w:tr>
      <w:tr w14:paraId="7F7BD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15" w:type="dxa"/>
            <w:vMerge w:val="continue"/>
            <w:noWrap w:val="0"/>
            <w:vAlign w:val="center"/>
          </w:tcPr>
          <w:p w14:paraId="5D9C556E">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kern w:val="0"/>
                <w:szCs w:val="21"/>
                <w:highlight w:val="none"/>
                <w:lang w:eastAsia="zh-CN"/>
              </w:rPr>
            </w:pPr>
          </w:p>
        </w:tc>
        <w:tc>
          <w:tcPr>
            <w:tcW w:w="885" w:type="dxa"/>
            <w:vMerge w:val="continue"/>
            <w:noWrap w:val="0"/>
            <w:vAlign w:val="center"/>
          </w:tcPr>
          <w:p w14:paraId="6D6C0021">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p>
        </w:tc>
        <w:tc>
          <w:tcPr>
            <w:tcW w:w="806" w:type="dxa"/>
            <w:vMerge w:val="continue"/>
            <w:noWrap w:val="0"/>
            <w:vAlign w:val="center"/>
          </w:tcPr>
          <w:p w14:paraId="38662926">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kern w:val="0"/>
                <w:szCs w:val="21"/>
                <w:highlight w:val="none"/>
                <w:lang w:val="en-US" w:eastAsia="zh-CN"/>
              </w:rPr>
            </w:pPr>
          </w:p>
        </w:tc>
        <w:tc>
          <w:tcPr>
            <w:tcW w:w="1227" w:type="dxa"/>
            <w:noWrap w:val="0"/>
            <w:vAlign w:val="center"/>
          </w:tcPr>
          <w:p w14:paraId="70153475">
            <w:pPr>
              <w:snapToGrid w:val="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硫酸盐</w:t>
            </w:r>
          </w:p>
        </w:tc>
        <w:tc>
          <w:tcPr>
            <w:tcW w:w="716" w:type="dxa"/>
            <w:noWrap w:val="0"/>
            <w:vAlign w:val="center"/>
          </w:tcPr>
          <w:p w14:paraId="20FB7E02">
            <w:pPr>
              <w:adjustRightInd w:val="0"/>
              <w:snapToGrid w:val="0"/>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mg/L</w:t>
            </w:r>
          </w:p>
        </w:tc>
        <w:tc>
          <w:tcPr>
            <w:tcW w:w="850" w:type="dxa"/>
            <w:noWrap w:val="0"/>
            <w:vAlign w:val="center"/>
          </w:tcPr>
          <w:p w14:paraId="2805CA13">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158</w:t>
            </w:r>
          </w:p>
        </w:tc>
        <w:tc>
          <w:tcPr>
            <w:tcW w:w="901" w:type="dxa"/>
            <w:noWrap w:val="0"/>
            <w:vAlign w:val="center"/>
          </w:tcPr>
          <w:p w14:paraId="39B65927">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156</w:t>
            </w:r>
          </w:p>
        </w:tc>
        <w:tc>
          <w:tcPr>
            <w:tcW w:w="855" w:type="dxa"/>
            <w:noWrap w:val="0"/>
            <w:vAlign w:val="center"/>
          </w:tcPr>
          <w:p w14:paraId="73E1A6EB">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164</w:t>
            </w:r>
          </w:p>
        </w:tc>
        <w:tc>
          <w:tcPr>
            <w:tcW w:w="794" w:type="dxa"/>
            <w:noWrap w:val="0"/>
            <w:vAlign w:val="center"/>
          </w:tcPr>
          <w:p w14:paraId="5BE07730">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169</w:t>
            </w:r>
          </w:p>
        </w:tc>
        <w:tc>
          <w:tcPr>
            <w:tcW w:w="850" w:type="dxa"/>
            <w:noWrap w:val="0"/>
            <w:vAlign w:val="center"/>
          </w:tcPr>
          <w:p w14:paraId="4D1CDEDF">
            <w:pPr>
              <w:keepNext w:val="0"/>
              <w:keepLines w:val="0"/>
              <w:pageBreakBefore w:val="0"/>
              <w:widowControl w:val="0"/>
              <w:kinsoku/>
              <w:wordWrap/>
              <w:overflowPunct/>
              <w:topLinePunct w:val="0"/>
              <w:autoSpaceDE/>
              <w:autoSpaceDN/>
              <w:bidi w:val="0"/>
              <w:ind w:left="-105" w:leftChars="-50" w:right="-105" w:rightChars="-50"/>
              <w:jc w:val="center"/>
              <w:textAlignment w:val="auto"/>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fldChar w:fldCharType="begin"/>
            </w:r>
            <w:r>
              <w:rPr>
                <w:rFonts w:hint="default" w:ascii="Times New Roman" w:hAnsi="Times New Roman" w:eastAsia="宋体" w:cs="Times New Roman"/>
                <w:kern w:val="0"/>
                <w:szCs w:val="21"/>
                <w:highlight w:val="none"/>
                <w:lang w:val="en-US" w:eastAsia="zh-CN"/>
              </w:rPr>
              <w:instrText xml:space="preserve"> = average(F18:I18) \* MERGEFORMAT </w:instrText>
            </w:r>
            <w:r>
              <w:rPr>
                <w:rFonts w:hint="default" w:ascii="Times New Roman" w:hAnsi="Times New Roman" w:eastAsia="宋体" w:cs="Times New Roman"/>
                <w:kern w:val="0"/>
                <w:szCs w:val="21"/>
                <w:highlight w:val="none"/>
                <w:lang w:val="en-US" w:eastAsia="zh-CN"/>
              </w:rPr>
              <w:fldChar w:fldCharType="separate"/>
            </w:r>
            <w:r>
              <w:rPr>
                <w:rFonts w:hint="default" w:ascii="Times New Roman" w:hAnsi="Times New Roman" w:eastAsia="宋体" w:cs="Times New Roman"/>
                <w:kern w:val="0"/>
                <w:szCs w:val="21"/>
                <w:highlight w:val="none"/>
                <w:lang w:val="en-US" w:eastAsia="zh-CN"/>
              </w:rPr>
              <w:t>16</w:t>
            </w:r>
            <w:r>
              <w:rPr>
                <w:rFonts w:hint="eastAsia" w:ascii="Times New Roman" w:hAnsi="Times New Roman" w:eastAsia="宋体" w:cs="Times New Roman"/>
                <w:kern w:val="0"/>
                <w:szCs w:val="21"/>
                <w:highlight w:val="none"/>
                <w:lang w:val="en-US" w:eastAsia="zh-CN"/>
              </w:rPr>
              <w:t>2</w:t>
            </w:r>
            <w:r>
              <w:rPr>
                <w:rFonts w:hint="default" w:ascii="Times New Roman" w:hAnsi="Times New Roman" w:eastAsia="宋体" w:cs="Times New Roman"/>
                <w:kern w:val="0"/>
                <w:szCs w:val="21"/>
                <w:highlight w:val="none"/>
                <w:lang w:val="en-US" w:eastAsia="zh-CN"/>
              </w:rPr>
              <w:fldChar w:fldCharType="end"/>
            </w:r>
          </w:p>
        </w:tc>
      </w:tr>
      <w:tr w14:paraId="4DF83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99" w:type="dxa"/>
            <w:gridSpan w:val="10"/>
            <w:noWrap w:val="0"/>
            <w:vAlign w:val="center"/>
          </w:tcPr>
          <w:p w14:paraId="5DC74552">
            <w:pPr>
              <w:keepNext w:val="0"/>
              <w:keepLines w:val="0"/>
              <w:pageBreakBefore w:val="0"/>
              <w:widowControl w:val="0"/>
              <w:kinsoku/>
              <w:wordWrap/>
              <w:overflowPunct/>
              <w:topLinePunct w:val="0"/>
              <w:autoSpaceDE/>
              <w:autoSpaceDN/>
              <w:bidi w:val="0"/>
              <w:ind w:left="-105" w:leftChars="-50" w:right="-105" w:rightChars="-50"/>
              <w:jc w:val="left"/>
              <w:textAlignment w:val="auto"/>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t>备注：“L”表示低于检出限。</w:t>
            </w:r>
          </w:p>
        </w:tc>
      </w:tr>
    </w:tbl>
    <w:p w14:paraId="3ACC7BF2">
      <w:pPr>
        <w:pStyle w:val="9"/>
        <w:spacing w:line="460" w:lineRule="exact"/>
        <w:ind w:firstLine="520"/>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（1）</w:t>
      </w:r>
      <w:r>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废水</w:t>
      </w:r>
    </w:p>
    <w:p w14:paraId="28097894">
      <w:pPr>
        <w:pStyle w:val="9"/>
        <w:spacing w:line="460" w:lineRule="exact"/>
        <w:ind w:firstLine="520"/>
        <w:rPr>
          <w:rFonts w:hint="eastAsia" w:ascii="Times New Roman" w:hAnsi="Times New Roman" w:eastAsia="宋体" w:cs="Times New Roman"/>
          <w:b w:val="0"/>
          <w:color w:val="000000" w:themeColor="text1"/>
          <w:kern w:val="2"/>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验收检测期间</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w:t>
      </w:r>
      <w:r>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污水站出口废水</w:t>
      </w:r>
      <w:r>
        <w:rPr>
          <w:rFonts w:hint="default" w:ascii="Times New Roman" w:hAnsi="Times New Roman" w:eastAsia="宋体" w:cs="Times New Roman"/>
          <w:color w:val="auto"/>
          <w:sz w:val="24"/>
          <w:szCs w:val="24"/>
          <w:highlight w:val="none"/>
          <w:lang w:val="en-US" w:eastAsia="zh-CN"/>
        </w:rPr>
        <w:t>pH</w:t>
      </w:r>
      <w:r>
        <w:rPr>
          <w:rFonts w:hint="eastAsia" w:ascii="Times New Roman" w:hAnsi="Times New Roman" w:eastAsia="宋体" w:cs="Times New Roman"/>
          <w:color w:val="auto"/>
          <w:sz w:val="24"/>
          <w:szCs w:val="24"/>
          <w:highlight w:val="none"/>
          <w:lang w:val="en-US" w:eastAsia="zh-CN"/>
        </w:rPr>
        <w:t>值为7.3~7.6无量纲</w:t>
      </w:r>
      <w:r>
        <w:rPr>
          <w:rFonts w:hint="eastAsia" w:ascii="Times New Roman" w:hAnsi="Times New Roman" w:eastAsia="宋体" w:cs="Times New Roman"/>
          <w:color w:val="auto"/>
          <w:sz w:val="24"/>
          <w:szCs w:val="24"/>
          <w:highlight w:val="none"/>
          <w:lang w:val="en-US" w:eastAsia="zh-CN"/>
        </w:rPr>
        <w:t>、COD排放浓度为23mg/L</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BOD</w:t>
      </w:r>
      <w:r>
        <w:rPr>
          <w:rFonts w:hint="default" w:ascii="Times New Roman" w:hAnsi="Times New Roman" w:cs="Times New Roman"/>
          <w:color w:val="auto"/>
          <w:sz w:val="24"/>
          <w:szCs w:val="24"/>
          <w:highlight w:val="none"/>
          <w:vertAlign w:val="subscript"/>
          <w:lang w:val="en-US" w:eastAsia="zh-CN"/>
        </w:rPr>
        <w:t>5</w:t>
      </w:r>
      <w:r>
        <w:rPr>
          <w:rFonts w:hint="eastAsia" w:ascii="Times New Roman" w:hAnsi="Times New Roman" w:eastAsia="宋体" w:cs="Times New Roman"/>
          <w:color w:val="auto"/>
          <w:sz w:val="24"/>
          <w:szCs w:val="24"/>
          <w:highlight w:val="none"/>
          <w:lang w:val="en-US" w:eastAsia="zh-CN"/>
        </w:rPr>
        <w:t>排放浓度为7.4mg/L</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氨氮</w:t>
      </w:r>
      <w:r>
        <w:rPr>
          <w:rFonts w:hint="eastAsia" w:ascii="Times New Roman" w:hAnsi="Times New Roman" w:eastAsia="宋体" w:cs="Times New Roman"/>
          <w:color w:val="auto"/>
          <w:sz w:val="24"/>
          <w:szCs w:val="24"/>
          <w:highlight w:val="none"/>
          <w:lang w:val="en-US" w:eastAsia="zh-CN"/>
        </w:rPr>
        <w:t>排放浓度为3.36mg/L、</w:t>
      </w:r>
      <w:r>
        <w:rPr>
          <w:rFonts w:hint="eastAsia" w:ascii="Times New Roman" w:hAnsi="Times New Roman" w:eastAsia="宋体" w:cs="Times New Roman"/>
          <w:color w:val="auto"/>
          <w:sz w:val="24"/>
          <w:szCs w:val="24"/>
          <w:highlight w:val="none"/>
          <w:lang w:val="en-US" w:eastAsia="zh-CN"/>
        </w:rPr>
        <w:t>氟化物排放浓度为1.15mg/L、</w:t>
      </w:r>
      <w:r>
        <w:rPr>
          <w:rFonts w:hint="eastAsia" w:ascii="Times New Roman" w:hAnsi="Times New Roman" w:eastAsia="宋体" w:cs="Times New Roman"/>
          <w:color w:val="auto"/>
          <w:sz w:val="24"/>
          <w:szCs w:val="24"/>
          <w:highlight w:val="none"/>
          <w:lang w:val="en-US" w:eastAsia="zh-CN"/>
        </w:rPr>
        <w:t>石油类排放浓度为0.53mg/L</w:t>
      </w:r>
      <w:r>
        <w:rPr>
          <w:rFonts w:hint="eastAsia" w:ascii="Times New Roman" w:hAnsi="Times New Roman" w:eastAsia="宋体" w:cs="Times New Roman"/>
          <w:color w:val="auto"/>
          <w:sz w:val="24"/>
          <w:szCs w:val="24"/>
          <w:highlight w:val="none"/>
          <w:lang w:val="en-US" w:eastAsia="zh-CN"/>
        </w:rPr>
        <w:t>，硫酸盐排放浓度为158mg/L</w:t>
      </w:r>
      <w:r>
        <w:rPr>
          <w:rFonts w:hint="eastAsia"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w w:val="100"/>
          <w:sz w:val="24"/>
          <w:szCs w:val="24"/>
          <w:highlight w:val="none"/>
          <w:lang w:val="en-US" w:eastAsia="zh-CN"/>
        </w:rPr>
        <w:t>LAS</w:t>
      </w:r>
      <w:r>
        <w:rPr>
          <w:rFonts w:hint="eastAsia" w:ascii="Times New Roman" w:hAnsi="Times New Roman" w:eastAsia="宋体" w:cs="Times New Roman"/>
          <w:color w:val="auto"/>
          <w:sz w:val="24"/>
          <w:szCs w:val="24"/>
          <w:highlight w:val="none"/>
          <w:lang w:val="en-US" w:eastAsia="zh-CN"/>
        </w:rPr>
        <w:t>排放浓度为未检出</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满足</w:t>
      </w:r>
      <w:r>
        <w:rPr>
          <w:rFonts w:hint="default" w:ascii="Times New Roman" w:hAnsi="Times New Roman" w:eastAsia="宋体" w:cs="Times New Roman"/>
          <w:bCs/>
          <w:color w:val="auto"/>
          <w:kern w:val="0"/>
          <w:sz w:val="24"/>
          <w:szCs w:val="24"/>
          <w:highlight w:val="none"/>
          <w:lang w:val="en-US" w:eastAsia="zh-CN"/>
        </w:rPr>
        <w:t>《城市污水再生利用 工业用水水质》（GB/T19923-20</w:t>
      </w:r>
      <w:r>
        <w:rPr>
          <w:rFonts w:hint="eastAsia" w:ascii="Times New Roman" w:hAnsi="Times New Roman" w:eastAsia="宋体" w:cs="Times New Roman"/>
          <w:bCs/>
          <w:color w:val="auto"/>
          <w:kern w:val="0"/>
          <w:sz w:val="24"/>
          <w:szCs w:val="24"/>
          <w:highlight w:val="none"/>
          <w:lang w:val="en-US" w:eastAsia="zh-CN"/>
        </w:rPr>
        <w:t>24</w:t>
      </w:r>
      <w:r>
        <w:rPr>
          <w:rFonts w:hint="default" w:ascii="Times New Roman" w:hAnsi="Times New Roman" w:eastAsia="宋体" w:cs="Times New Roman"/>
          <w:bCs/>
          <w:color w:val="auto"/>
          <w:kern w:val="0"/>
          <w:sz w:val="24"/>
          <w:szCs w:val="24"/>
          <w:highlight w:val="none"/>
          <w:lang w:val="en-US" w:eastAsia="zh-CN"/>
        </w:rPr>
        <w:t>）表1中工艺</w:t>
      </w:r>
      <w:r>
        <w:rPr>
          <w:rFonts w:hint="eastAsia" w:ascii="Times New Roman" w:hAnsi="Times New Roman" w:eastAsia="宋体" w:cs="Times New Roman"/>
          <w:bCs/>
          <w:color w:val="auto"/>
          <w:kern w:val="0"/>
          <w:sz w:val="24"/>
          <w:szCs w:val="24"/>
          <w:highlight w:val="none"/>
          <w:lang w:val="en-US" w:eastAsia="zh-CN"/>
        </w:rPr>
        <w:t>用水、</w:t>
      </w:r>
      <w:r>
        <w:rPr>
          <w:rFonts w:hint="default" w:ascii="Times New Roman" w:hAnsi="Times New Roman" w:eastAsia="宋体" w:cs="Times New Roman"/>
          <w:bCs/>
          <w:color w:val="auto"/>
          <w:kern w:val="0"/>
          <w:sz w:val="24"/>
          <w:szCs w:val="24"/>
          <w:highlight w:val="none"/>
          <w:lang w:val="en-US" w:eastAsia="zh-CN"/>
        </w:rPr>
        <w:t>产品用水水质标准</w:t>
      </w:r>
      <w:r>
        <w:rPr>
          <w:rFonts w:hint="eastAsia" w:ascii="Times New Roman" w:hAnsi="Times New Roman" w:eastAsia="宋体" w:cs="Times New Roman"/>
          <w:bCs/>
          <w:color w:val="auto"/>
          <w:kern w:val="0"/>
          <w:sz w:val="24"/>
          <w:szCs w:val="24"/>
          <w:highlight w:val="none"/>
          <w:lang w:val="en-US" w:eastAsia="zh-CN"/>
        </w:rPr>
        <w:t>以及表2标准</w:t>
      </w:r>
      <w:r>
        <w:rPr>
          <w:rFonts w:hint="eastAsia" w:ascii="Times New Roman" w:hAnsi="Times New Roman" w:eastAsia="宋体" w:cs="Times New Roman"/>
          <w:b w:val="0"/>
          <w:color w:val="000000" w:themeColor="text1"/>
          <w:kern w:val="2"/>
          <w:sz w:val="24"/>
          <w:szCs w:val="24"/>
          <w:highlight w:val="none"/>
          <w:lang w:val="en-US" w:eastAsia="zh-CN" w:bidi="ar-SA"/>
          <w14:textFill>
            <w14:solidFill>
              <w14:schemeClr w14:val="tx1"/>
            </w14:solidFill>
          </w14:textFill>
        </w:rPr>
        <w:t>要求：pH：6.0~9.0、COD：50mg/L、BOD</w:t>
      </w:r>
      <w:r>
        <w:rPr>
          <w:rFonts w:hint="eastAsia" w:ascii="Times New Roman" w:hAnsi="Times New Roman" w:eastAsia="宋体" w:cs="Times New Roman"/>
          <w:b w:val="0"/>
          <w:color w:val="000000" w:themeColor="text1"/>
          <w:kern w:val="2"/>
          <w:sz w:val="24"/>
          <w:szCs w:val="24"/>
          <w:highlight w:val="none"/>
          <w:vertAlign w:val="subscript"/>
          <w:lang w:val="en-US" w:eastAsia="zh-CN" w:bidi="ar-SA"/>
          <w14:textFill>
            <w14:solidFill>
              <w14:schemeClr w14:val="tx1"/>
            </w14:solidFill>
          </w14:textFill>
        </w:rPr>
        <w:t>5</w:t>
      </w:r>
      <w:r>
        <w:rPr>
          <w:rFonts w:hint="eastAsia" w:ascii="Times New Roman" w:hAnsi="Times New Roman" w:eastAsia="宋体" w:cs="Times New Roman"/>
          <w:b w:val="0"/>
          <w:color w:val="000000" w:themeColor="text1"/>
          <w:kern w:val="2"/>
          <w:sz w:val="24"/>
          <w:szCs w:val="24"/>
          <w:highlight w:val="none"/>
          <w:lang w:val="en-US" w:eastAsia="zh-CN" w:bidi="ar-SA"/>
          <w14:textFill>
            <w14:solidFill>
              <w14:schemeClr w14:val="tx1"/>
            </w14:solidFill>
          </w14:textFill>
        </w:rPr>
        <w:t>：10mg/L、氨氮：5mg/L、石油类：1mg/L、</w:t>
      </w:r>
      <w:r>
        <w:rPr>
          <w:rFonts w:hint="eastAsia" w:ascii="Times New Roman" w:hAnsi="Times New Roman" w:eastAsia="宋体" w:cs="Times New Roman"/>
          <w:color w:val="auto"/>
          <w:w w:val="100"/>
          <w:sz w:val="24"/>
          <w:szCs w:val="24"/>
          <w:highlight w:val="none"/>
          <w:lang w:val="en-US" w:eastAsia="zh-CN"/>
        </w:rPr>
        <w:t>LAS</w:t>
      </w:r>
      <w:r>
        <w:rPr>
          <w:rFonts w:hint="eastAsia" w:ascii="Times New Roman" w:hAnsi="Times New Roman" w:eastAsia="宋体" w:cs="Times New Roman"/>
          <w:b w:val="0"/>
          <w:color w:val="000000" w:themeColor="text1"/>
          <w:kern w:val="2"/>
          <w:sz w:val="24"/>
          <w:szCs w:val="24"/>
          <w:highlight w:val="none"/>
          <w:lang w:val="en-US" w:eastAsia="zh-CN" w:bidi="ar-SA"/>
          <w14:textFill>
            <w14:solidFill>
              <w14:schemeClr w14:val="tx1"/>
            </w14:solidFill>
          </w14:textFill>
        </w:rPr>
        <w:t>：0.5mg/L、</w:t>
      </w:r>
      <w:r>
        <w:rPr>
          <w:rFonts w:hint="eastAsia" w:ascii="Times New Roman" w:hAnsi="Times New Roman" w:eastAsia="宋体" w:cs="Times New Roman"/>
          <w:color w:val="auto"/>
          <w:sz w:val="24"/>
          <w:szCs w:val="24"/>
          <w:highlight w:val="none"/>
          <w:lang w:val="en-US" w:eastAsia="zh-CN"/>
        </w:rPr>
        <w:t>氟化物</w:t>
      </w:r>
      <w:r>
        <w:rPr>
          <w:rFonts w:hint="eastAsia" w:ascii="Times New Roman" w:hAnsi="Times New Roman" w:eastAsia="宋体" w:cs="Times New Roman"/>
          <w:b w:val="0"/>
          <w:color w:val="000000" w:themeColor="text1"/>
          <w:kern w:val="2"/>
          <w:sz w:val="24"/>
          <w:szCs w:val="24"/>
          <w:highlight w:val="none"/>
          <w:lang w:val="en-US" w:eastAsia="zh-CN" w:bidi="ar-SA"/>
          <w14:textFill>
            <w14:solidFill>
              <w14:schemeClr w14:val="tx1"/>
            </w14:solidFill>
          </w14:textFill>
        </w:rPr>
        <w:t>：2.0mg/L、</w:t>
      </w:r>
      <w:r>
        <w:rPr>
          <w:rFonts w:hint="eastAsia" w:ascii="Times New Roman" w:hAnsi="Times New Roman" w:eastAsia="宋体" w:cs="Times New Roman"/>
          <w:color w:val="auto"/>
          <w:sz w:val="24"/>
          <w:szCs w:val="24"/>
          <w:highlight w:val="none"/>
          <w:lang w:val="en-US" w:eastAsia="zh-CN"/>
        </w:rPr>
        <w:t>硫酸盐</w:t>
      </w:r>
      <w:r>
        <w:rPr>
          <w:rFonts w:hint="eastAsia" w:ascii="Times New Roman" w:hAnsi="Times New Roman" w:eastAsia="宋体" w:cs="Times New Roman"/>
          <w:b w:val="0"/>
          <w:color w:val="000000" w:themeColor="text1"/>
          <w:kern w:val="2"/>
          <w:sz w:val="24"/>
          <w:szCs w:val="24"/>
          <w:highlight w:val="none"/>
          <w:lang w:val="en-US" w:eastAsia="zh-CN" w:bidi="ar-SA"/>
          <w14:textFill>
            <w14:solidFill>
              <w14:schemeClr w14:val="tx1"/>
            </w14:solidFill>
          </w14:textFill>
        </w:rPr>
        <w:t>：250mg/L。</w:t>
      </w:r>
    </w:p>
    <w:p w14:paraId="3C6AEAC6">
      <w:pPr>
        <w:pStyle w:val="6"/>
        <w:keepNext w:val="0"/>
        <w:keepLines w:val="0"/>
        <w:pageBreakBefore w:val="0"/>
        <w:widowControl w:val="0"/>
        <w:kinsoku/>
        <w:wordWrap/>
        <w:overflowPunct/>
        <w:topLinePunct w:val="0"/>
        <w:autoSpaceDE/>
        <w:autoSpaceDN/>
        <w:bidi w:val="0"/>
        <w:adjustRightInd/>
        <w:snapToGrid/>
        <w:spacing w:line="360" w:lineRule="auto"/>
        <w:ind w:firstLine="281" w:firstLineChars="100"/>
        <w:textAlignment w:val="auto"/>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b/>
          <w:color w:val="000000" w:themeColor="text1"/>
          <w:kern w:val="2"/>
          <w:sz w:val="28"/>
          <w:szCs w:val="28"/>
          <w:highlight w:val="none"/>
          <w:lang w:val="en-US" w:eastAsia="zh-CN" w:bidi="ar-SA"/>
          <w14:textFill>
            <w14:solidFill>
              <w14:schemeClr w14:val="tx1"/>
            </w14:solidFill>
          </w14:textFill>
        </w:rPr>
        <w:t>9.2.</w:t>
      </w:r>
      <w:r>
        <w:rPr>
          <w:rFonts w:hint="eastAsia" w:ascii="Times New Roman" w:hAnsi="Times New Roman" w:eastAsia="宋体" w:cs="Times New Roman"/>
          <w:b/>
          <w:color w:val="000000" w:themeColor="text1"/>
          <w:kern w:val="2"/>
          <w:sz w:val="28"/>
          <w:szCs w:val="28"/>
          <w:highlight w:val="none"/>
          <w:lang w:val="en-US" w:eastAsia="zh-CN" w:bidi="ar-SA"/>
          <w14:textFill>
            <w14:solidFill>
              <w14:schemeClr w14:val="tx1"/>
            </w14:solidFill>
          </w14:textFill>
        </w:rPr>
        <w:t>2</w:t>
      </w:r>
      <w:r>
        <w:rPr>
          <w:rFonts w:hint="default" w:ascii="Times New Roman" w:hAnsi="Times New Roman" w:eastAsia="宋体" w:cs="Times New Roman"/>
          <w:b/>
          <w:color w:val="000000" w:themeColor="text1"/>
          <w:kern w:val="2"/>
          <w:sz w:val="28"/>
          <w:szCs w:val="28"/>
          <w:highlight w:val="none"/>
          <w:lang w:val="en-US" w:eastAsia="zh-CN" w:bidi="ar-SA"/>
          <w14:textFill>
            <w14:solidFill>
              <w14:schemeClr w14:val="tx1"/>
            </w14:solidFill>
          </w14:textFill>
        </w:rPr>
        <w:t>废</w:t>
      </w:r>
      <w:r>
        <w:rPr>
          <w:rFonts w:hint="eastAsia" w:ascii="Times New Roman" w:hAnsi="Times New Roman" w:eastAsia="宋体" w:cs="Times New Roman"/>
          <w:b/>
          <w:color w:val="000000" w:themeColor="text1"/>
          <w:kern w:val="2"/>
          <w:sz w:val="28"/>
          <w:szCs w:val="28"/>
          <w:highlight w:val="none"/>
          <w:lang w:val="en-US" w:eastAsia="zh-CN" w:bidi="ar-SA"/>
          <w14:textFill>
            <w14:solidFill>
              <w14:schemeClr w14:val="tx1"/>
            </w14:solidFill>
          </w14:textFill>
        </w:rPr>
        <w:t>气</w:t>
      </w:r>
      <w:r>
        <w:rPr>
          <w:rFonts w:hint="default" w:ascii="Times New Roman" w:hAnsi="Times New Roman" w:eastAsia="宋体" w:cs="Times New Roman"/>
          <w:b/>
          <w:color w:val="000000" w:themeColor="text1"/>
          <w:kern w:val="2"/>
          <w:sz w:val="28"/>
          <w:szCs w:val="28"/>
          <w:highlight w:val="none"/>
          <w:lang w:val="en-US" w:eastAsia="zh-CN" w:bidi="ar-SA"/>
          <w14:textFill>
            <w14:solidFill>
              <w14:schemeClr w14:val="tx1"/>
            </w14:solidFill>
          </w14:textFill>
        </w:rPr>
        <w:t>治理设施</w:t>
      </w:r>
    </w:p>
    <w:p w14:paraId="5FD61C42">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Times New Roman" w:hAnsi="Times New Roman" w:eastAsia="宋体" w:cs="Times New Roman"/>
          <w:b/>
          <w:color w:val="000000" w:themeColor="text1"/>
          <w:sz w:val="24"/>
          <w:szCs w:val="24"/>
          <w:highlight w:val="none"/>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表9-</w:t>
      </w:r>
      <w:r>
        <w:rPr>
          <w:rFonts w:hint="eastAsia" w:ascii="Times New Roman" w:hAnsi="Times New Roman" w:eastAsia="宋体" w:cs="Times New Roman"/>
          <w:b/>
          <w:color w:val="000000" w:themeColor="text1"/>
          <w:sz w:val="24"/>
          <w:szCs w:val="24"/>
          <w:highlight w:val="none"/>
          <w:lang w:val="en-US" w:eastAsia="zh-CN"/>
          <w14:textFill>
            <w14:solidFill>
              <w14:schemeClr w14:val="tx1"/>
            </w14:solidFill>
          </w14:textFill>
        </w:rPr>
        <w:t xml:space="preserve">2  </w:t>
      </w:r>
      <w:r>
        <w:rPr>
          <w:rFonts w:hint="default" w:ascii="Times New Roman" w:hAnsi="Times New Roman" w:eastAsia="宋体" w:cs="Times New Roman"/>
          <w:b/>
          <w:color w:val="000000" w:themeColor="text1"/>
          <w:sz w:val="24"/>
          <w:szCs w:val="24"/>
          <w:highlight w:val="none"/>
          <w14:textFill>
            <w14:solidFill>
              <w14:schemeClr w14:val="tx1"/>
            </w14:solidFill>
          </w14:textFill>
        </w:rPr>
        <w:t>项目有组织废气</w:t>
      </w:r>
      <w:r>
        <w:rPr>
          <w:rFonts w:hint="eastAsia" w:ascii="Times New Roman" w:hAnsi="Times New Roman" w:eastAsia="宋体" w:cs="Times New Roman"/>
          <w:b/>
          <w:color w:val="000000" w:themeColor="text1"/>
          <w:sz w:val="24"/>
          <w:szCs w:val="24"/>
          <w:highlight w:val="none"/>
          <w:lang w:val="en-US" w:eastAsia="zh-CN"/>
          <w14:textFill>
            <w14:solidFill>
              <w14:schemeClr w14:val="tx1"/>
            </w14:solidFill>
          </w14:textFill>
        </w:rPr>
        <w:t>检测</w:t>
      </w:r>
      <w:r>
        <w:rPr>
          <w:rFonts w:hint="default" w:ascii="Times New Roman" w:hAnsi="Times New Roman" w:eastAsia="宋体" w:cs="Times New Roman"/>
          <w:b/>
          <w:color w:val="000000" w:themeColor="text1"/>
          <w:sz w:val="24"/>
          <w:szCs w:val="24"/>
          <w:highlight w:val="none"/>
          <w14:textFill>
            <w14:solidFill>
              <w14:schemeClr w14:val="tx1"/>
            </w14:solidFill>
          </w14:textFill>
        </w:rPr>
        <w:t>结果一览表</w:t>
      </w:r>
    </w:p>
    <w:tbl>
      <w:tblPr>
        <w:tblStyle w:val="32"/>
        <w:tblW w:w="87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4"/>
        <w:gridCol w:w="1012"/>
        <w:gridCol w:w="1180"/>
        <w:gridCol w:w="888"/>
        <w:gridCol w:w="912"/>
        <w:gridCol w:w="907"/>
        <w:gridCol w:w="907"/>
        <w:gridCol w:w="907"/>
        <w:gridCol w:w="907"/>
      </w:tblGrid>
      <w:tr w14:paraId="3C847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trPr>
        <w:tc>
          <w:tcPr>
            <w:tcW w:w="1124" w:type="dxa"/>
            <w:vMerge w:val="restart"/>
            <w:noWrap w:val="0"/>
            <w:vAlign w:val="center"/>
          </w:tcPr>
          <w:p w14:paraId="712286EF">
            <w:pPr>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rPr>
              <w:t>检测</w:t>
            </w:r>
            <w:r>
              <w:rPr>
                <w:rFonts w:hint="default" w:ascii="Times New Roman" w:hAnsi="Times New Roman" w:eastAsia="宋体" w:cs="Times New Roman"/>
                <w:color w:val="auto"/>
                <w:kern w:val="0"/>
                <w:szCs w:val="21"/>
                <w:highlight w:val="none"/>
                <w:lang w:val="en-US" w:eastAsia="zh-CN"/>
              </w:rPr>
              <w:t>点位</w:t>
            </w:r>
          </w:p>
        </w:tc>
        <w:tc>
          <w:tcPr>
            <w:tcW w:w="1012" w:type="dxa"/>
            <w:vMerge w:val="restart"/>
            <w:noWrap w:val="0"/>
            <w:vAlign w:val="center"/>
          </w:tcPr>
          <w:p w14:paraId="091C64B8">
            <w:pPr>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lang w:val="en-US" w:eastAsia="zh-CN"/>
              </w:rPr>
              <w:t>采样日期</w:t>
            </w:r>
          </w:p>
        </w:tc>
        <w:tc>
          <w:tcPr>
            <w:tcW w:w="1180" w:type="dxa"/>
            <w:vMerge w:val="restart"/>
            <w:noWrap w:val="0"/>
            <w:vAlign w:val="center"/>
          </w:tcPr>
          <w:p w14:paraId="359CAB83">
            <w:pPr>
              <w:jc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检测项目</w:t>
            </w:r>
          </w:p>
        </w:tc>
        <w:tc>
          <w:tcPr>
            <w:tcW w:w="888" w:type="dxa"/>
            <w:vMerge w:val="restart"/>
            <w:noWrap w:val="0"/>
            <w:vAlign w:val="center"/>
          </w:tcPr>
          <w:p w14:paraId="65EBF931">
            <w:pPr>
              <w:jc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单位</w:t>
            </w:r>
          </w:p>
        </w:tc>
        <w:tc>
          <w:tcPr>
            <w:tcW w:w="912" w:type="dxa"/>
            <w:vMerge w:val="restart"/>
            <w:noWrap w:val="0"/>
            <w:vAlign w:val="center"/>
          </w:tcPr>
          <w:p w14:paraId="0BAA98CB">
            <w:pPr>
              <w:keepNext w:val="0"/>
              <w:keepLines w:val="0"/>
              <w:pageBreakBefore w:val="0"/>
              <w:widowControl w:val="0"/>
              <w:kinsoku/>
              <w:wordWrap/>
              <w:overflowPunct/>
              <w:topLinePunct w:val="0"/>
              <w:autoSpaceDE/>
              <w:autoSpaceDN/>
              <w:bidi w:val="0"/>
              <w:adjustRightInd/>
              <w:snapToGrid w:val="0"/>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样品状态</w:t>
            </w:r>
          </w:p>
        </w:tc>
        <w:tc>
          <w:tcPr>
            <w:tcW w:w="3628" w:type="dxa"/>
            <w:gridSpan w:val="4"/>
            <w:noWrap w:val="0"/>
            <w:vAlign w:val="center"/>
          </w:tcPr>
          <w:p w14:paraId="600775A3">
            <w:pPr>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检测</w:t>
            </w:r>
            <w:r>
              <w:rPr>
                <w:rFonts w:hint="default" w:ascii="Times New Roman" w:hAnsi="Times New Roman" w:eastAsia="宋体" w:cs="Times New Roman"/>
                <w:color w:val="auto"/>
                <w:kern w:val="0"/>
                <w:szCs w:val="21"/>
                <w:highlight w:val="none"/>
                <w:lang w:val="en-US" w:eastAsia="zh-CN"/>
              </w:rPr>
              <w:t>结果</w:t>
            </w:r>
          </w:p>
        </w:tc>
      </w:tr>
      <w:tr w14:paraId="33863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trPr>
        <w:tc>
          <w:tcPr>
            <w:tcW w:w="1124" w:type="dxa"/>
            <w:vMerge w:val="continue"/>
            <w:noWrap w:val="0"/>
            <w:vAlign w:val="center"/>
          </w:tcPr>
          <w:p w14:paraId="141BE2AE">
            <w:pPr>
              <w:jc w:val="center"/>
              <w:rPr>
                <w:rFonts w:hint="default" w:ascii="Times New Roman" w:hAnsi="Times New Roman" w:eastAsia="宋体" w:cs="Times New Roman"/>
                <w:color w:val="auto"/>
                <w:kern w:val="0"/>
                <w:szCs w:val="21"/>
                <w:highlight w:val="none"/>
                <w:lang w:val="en-US" w:eastAsia="zh-CN"/>
              </w:rPr>
            </w:pPr>
          </w:p>
        </w:tc>
        <w:tc>
          <w:tcPr>
            <w:tcW w:w="1012" w:type="dxa"/>
            <w:vMerge w:val="continue"/>
            <w:noWrap w:val="0"/>
            <w:vAlign w:val="center"/>
          </w:tcPr>
          <w:p w14:paraId="4804A6A0">
            <w:pPr>
              <w:jc w:val="center"/>
              <w:rPr>
                <w:rFonts w:hint="default" w:ascii="Times New Roman" w:hAnsi="Times New Roman" w:eastAsia="宋体" w:cs="Times New Roman"/>
                <w:color w:val="auto"/>
                <w:kern w:val="0"/>
                <w:szCs w:val="21"/>
                <w:highlight w:val="none"/>
              </w:rPr>
            </w:pPr>
          </w:p>
        </w:tc>
        <w:tc>
          <w:tcPr>
            <w:tcW w:w="1180" w:type="dxa"/>
            <w:vMerge w:val="continue"/>
            <w:noWrap w:val="0"/>
            <w:vAlign w:val="center"/>
          </w:tcPr>
          <w:p w14:paraId="79DF04A8">
            <w:pPr>
              <w:jc w:val="center"/>
              <w:rPr>
                <w:rFonts w:hint="default" w:ascii="Times New Roman" w:hAnsi="Times New Roman" w:eastAsia="宋体" w:cs="Times New Roman"/>
                <w:color w:val="auto"/>
                <w:kern w:val="0"/>
                <w:szCs w:val="21"/>
                <w:highlight w:val="none"/>
                <w:lang w:val="en-US" w:eastAsia="zh-CN"/>
              </w:rPr>
            </w:pPr>
          </w:p>
        </w:tc>
        <w:tc>
          <w:tcPr>
            <w:tcW w:w="888" w:type="dxa"/>
            <w:vMerge w:val="continue"/>
            <w:noWrap w:val="0"/>
            <w:vAlign w:val="center"/>
          </w:tcPr>
          <w:p w14:paraId="21928CDE">
            <w:pPr>
              <w:jc w:val="center"/>
              <w:rPr>
                <w:rFonts w:hint="default" w:ascii="Times New Roman" w:hAnsi="Times New Roman" w:eastAsia="宋体" w:cs="Times New Roman"/>
                <w:color w:val="auto"/>
                <w:kern w:val="0"/>
                <w:szCs w:val="21"/>
                <w:highlight w:val="none"/>
                <w:lang w:val="en-US" w:eastAsia="zh-CN"/>
              </w:rPr>
            </w:pPr>
          </w:p>
        </w:tc>
        <w:tc>
          <w:tcPr>
            <w:tcW w:w="912" w:type="dxa"/>
            <w:vMerge w:val="continue"/>
            <w:noWrap w:val="0"/>
            <w:vAlign w:val="center"/>
          </w:tcPr>
          <w:p w14:paraId="3DD20499">
            <w:pPr>
              <w:keepNext w:val="0"/>
              <w:keepLines w:val="0"/>
              <w:pageBreakBefore w:val="0"/>
              <w:widowControl w:val="0"/>
              <w:kinsoku/>
              <w:wordWrap/>
              <w:overflowPunct/>
              <w:topLinePunct w:val="0"/>
              <w:autoSpaceDE/>
              <w:autoSpaceDN/>
              <w:bidi w:val="0"/>
              <w:adjustRightInd/>
              <w:snapToGrid w:val="0"/>
              <w:jc w:val="center"/>
              <w:textAlignment w:val="auto"/>
              <w:rPr>
                <w:rFonts w:hint="default" w:ascii="Times New Roman" w:hAnsi="Times New Roman" w:eastAsia="宋体" w:cs="Times New Roman"/>
                <w:color w:val="auto"/>
                <w:kern w:val="0"/>
                <w:szCs w:val="21"/>
                <w:highlight w:val="none"/>
              </w:rPr>
            </w:pPr>
          </w:p>
        </w:tc>
        <w:tc>
          <w:tcPr>
            <w:tcW w:w="907" w:type="dxa"/>
            <w:noWrap w:val="0"/>
            <w:vAlign w:val="center"/>
          </w:tcPr>
          <w:p w14:paraId="70F6EC7F">
            <w:pPr>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1</w:t>
            </w:r>
          </w:p>
        </w:tc>
        <w:tc>
          <w:tcPr>
            <w:tcW w:w="907" w:type="dxa"/>
            <w:noWrap w:val="0"/>
            <w:vAlign w:val="center"/>
          </w:tcPr>
          <w:p w14:paraId="76FBD638">
            <w:pPr>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2</w:t>
            </w:r>
          </w:p>
        </w:tc>
        <w:tc>
          <w:tcPr>
            <w:tcW w:w="907" w:type="dxa"/>
            <w:noWrap w:val="0"/>
            <w:vAlign w:val="center"/>
          </w:tcPr>
          <w:p w14:paraId="1AC09A9F">
            <w:pPr>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3</w:t>
            </w:r>
          </w:p>
        </w:tc>
        <w:tc>
          <w:tcPr>
            <w:tcW w:w="907" w:type="dxa"/>
            <w:noWrap w:val="0"/>
            <w:vAlign w:val="center"/>
          </w:tcPr>
          <w:p w14:paraId="69654FDF">
            <w:pPr>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平均值</w:t>
            </w:r>
          </w:p>
        </w:tc>
      </w:tr>
      <w:tr w14:paraId="2BBA1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24" w:type="dxa"/>
            <w:vMerge w:val="restart"/>
            <w:noWrap w:val="0"/>
            <w:vAlign w:val="center"/>
          </w:tcPr>
          <w:p w14:paraId="567A072E">
            <w:pPr>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抛光废气排放口</w:t>
            </w:r>
            <w:r>
              <w:rPr>
                <w:rFonts w:hint="eastAsia" w:ascii="Times New Roman" w:hAnsi="Times New Roman" w:eastAsia="宋体" w:cs="Times New Roman"/>
                <w:color w:val="auto"/>
                <w:kern w:val="0"/>
                <w:sz w:val="21"/>
                <w:szCs w:val="21"/>
                <w:highlight w:val="none"/>
                <w:lang w:val="en-US" w:eastAsia="zh-CN" w:bidi="ar-SA"/>
              </w:rPr>
              <w:t>DA001</w:t>
            </w:r>
          </w:p>
        </w:tc>
        <w:tc>
          <w:tcPr>
            <w:tcW w:w="1012" w:type="dxa"/>
            <w:vMerge w:val="restart"/>
            <w:noWrap w:val="0"/>
            <w:vAlign w:val="center"/>
          </w:tcPr>
          <w:p w14:paraId="4F72E101">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2026.03.23</w:t>
            </w:r>
          </w:p>
        </w:tc>
        <w:tc>
          <w:tcPr>
            <w:tcW w:w="1180" w:type="dxa"/>
            <w:noWrap w:val="0"/>
            <w:vAlign w:val="center"/>
          </w:tcPr>
          <w:p w14:paraId="6243F639">
            <w:pPr>
              <w:ind w:left="-105" w:leftChars="-50" w:right="-105" w:rightChars="-50"/>
              <w:jc w:val="center"/>
              <w:rPr>
                <w:rFonts w:hint="eastAsia"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Cs w:val="21"/>
                <w:highlight w:val="none"/>
              </w:rPr>
              <w:t>标干流量</w:t>
            </w:r>
          </w:p>
        </w:tc>
        <w:tc>
          <w:tcPr>
            <w:tcW w:w="888" w:type="dxa"/>
            <w:noWrap w:val="0"/>
            <w:vAlign w:val="center"/>
          </w:tcPr>
          <w:p w14:paraId="1A398096">
            <w:pPr>
              <w:ind w:left="-105" w:leftChars="-50" w:right="-105" w:rightChars="-50"/>
              <w:jc w:val="center"/>
              <w:rPr>
                <w:rFonts w:hint="eastAsia"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rPr>
              <w:t>m</w:t>
            </w:r>
            <w:r>
              <w:rPr>
                <w:rFonts w:hint="default" w:ascii="Times New Roman" w:hAnsi="Times New Roman" w:eastAsia="宋体" w:cs="Times New Roman"/>
                <w:color w:val="auto"/>
                <w:kern w:val="0"/>
                <w:szCs w:val="21"/>
                <w:highlight w:val="none"/>
                <w:vertAlign w:val="superscript"/>
              </w:rPr>
              <w:t>3</w:t>
            </w:r>
            <w:r>
              <w:rPr>
                <w:rFonts w:hint="default" w:ascii="Times New Roman" w:hAnsi="Times New Roman" w:eastAsia="宋体" w:cs="Times New Roman"/>
                <w:color w:val="auto"/>
                <w:kern w:val="0"/>
                <w:szCs w:val="21"/>
                <w:highlight w:val="none"/>
              </w:rPr>
              <w:t>/h</w:t>
            </w:r>
          </w:p>
        </w:tc>
        <w:tc>
          <w:tcPr>
            <w:tcW w:w="912" w:type="dxa"/>
            <w:noWrap w:val="0"/>
            <w:vAlign w:val="center"/>
          </w:tcPr>
          <w:p w14:paraId="161964F2">
            <w:pPr>
              <w:ind w:left="-105" w:leftChars="-50" w:right="-105" w:rightChars="-5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w:t>
            </w:r>
          </w:p>
        </w:tc>
        <w:tc>
          <w:tcPr>
            <w:tcW w:w="907" w:type="dxa"/>
            <w:noWrap w:val="0"/>
            <w:vAlign w:val="center"/>
          </w:tcPr>
          <w:p w14:paraId="73F6306D">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20474</w:t>
            </w:r>
          </w:p>
        </w:tc>
        <w:tc>
          <w:tcPr>
            <w:tcW w:w="907" w:type="dxa"/>
            <w:noWrap w:val="0"/>
            <w:vAlign w:val="center"/>
          </w:tcPr>
          <w:p w14:paraId="6056778F">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20745</w:t>
            </w:r>
          </w:p>
        </w:tc>
        <w:tc>
          <w:tcPr>
            <w:tcW w:w="907" w:type="dxa"/>
            <w:noWrap w:val="0"/>
            <w:vAlign w:val="center"/>
          </w:tcPr>
          <w:p w14:paraId="72C07EB9">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20932</w:t>
            </w:r>
          </w:p>
        </w:tc>
        <w:tc>
          <w:tcPr>
            <w:tcW w:w="907" w:type="dxa"/>
            <w:noWrap w:val="0"/>
            <w:vAlign w:val="center"/>
          </w:tcPr>
          <w:p w14:paraId="56CA5768">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fldChar w:fldCharType="begin"/>
            </w:r>
            <w:r>
              <w:rPr>
                <w:rFonts w:hint="eastAsia" w:ascii="Times New Roman" w:hAnsi="Times New Roman" w:eastAsia="宋体" w:cs="Times New Roman"/>
                <w:color w:val="auto"/>
                <w:kern w:val="0"/>
                <w:sz w:val="21"/>
                <w:szCs w:val="21"/>
                <w:highlight w:val="none"/>
                <w:lang w:val="en-US" w:eastAsia="zh-CN" w:bidi="ar-SA"/>
              </w:rPr>
              <w:instrText xml:space="preserve"> = average(F3:H3) \* MERGEFORMAT </w:instrText>
            </w:r>
            <w:r>
              <w:rPr>
                <w:rFonts w:hint="eastAsia" w:ascii="Times New Roman" w:hAnsi="Times New Roman" w:eastAsia="宋体" w:cs="Times New Roman"/>
                <w:color w:val="auto"/>
                <w:kern w:val="0"/>
                <w:sz w:val="21"/>
                <w:szCs w:val="21"/>
                <w:highlight w:val="none"/>
                <w:lang w:val="en-US" w:eastAsia="zh-CN" w:bidi="ar-SA"/>
              </w:rPr>
              <w:fldChar w:fldCharType="separate"/>
            </w:r>
            <w:r>
              <w:rPr>
                <w:rFonts w:hint="eastAsia" w:ascii="Times New Roman" w:hAnsi="Times New Roman" w:eastAsia="宋体" w:cs="Times New Roman"/>
                <w:color w:val="auto"/>
                <w:kern w:val="0"/>
                <w:sz w:val="21"/>
                <w:szCs w:val="21"/>
                <w:highlight w:val="none"/>
                <w:lang w:val="en-US" w:eastAsia="zh-CN" w:bidi="ar-SA"/>
              </w:rPr>
              <w:t>20717</w:t>
            </w:r>
            <w:r>
              <w:rPr>
                <w:rFonts w:hint="eastAsia" w:ascii="Times New Roman" w:hAnsi="Times New Roman" w:eastAsia="宋体" w:cs="Times New Roman"/>
                <w:color w:val="auto"/>
                <w:kern w:val="0"/>
                <w:sz w:val="21"/>
                <w:szCs w:val="21"/>
                <w:highlight w:val="none"/>
                <w:lang w:val="en-US" w:eastAsia="zh-CN" w:bidi="ar-SA"/>
              </w:rPr>
              <w:fldChar w:fldCharType="end"/>
            </w:r>
          </w:p>
        </w:tc>
      </w:tr>
      <w:tr w14:paraId="203B6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24" w:type="dxa"/>
            <w:vMerge w:val="continue"/>
            <w:noWrap w:val="0"/>
            <w:vAlign w:val="center"/>
          </w:tcPr>
          <w:p w14:paraId="297775A1">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eastAsia" w:ascii="Times New Roman" w:hAnsi="Times New Roman" w:eastAsia="宋体" w:cs="Times New Roman"/>
                <w:color w:val="auto"/>
                <w:kern w:val="0"/>
                <w:szCs w:val="21"/>
                <w:highlight w:val="none"/>
                <w:lang w:val="en-US" w:eastAsia="zh-CN"/>
              </w:rPr>
            </w:pPr>
          </w:p>
        </w:tc>
        <w:tc>
          <w:tcPr>
            <w:tcW w:w="1012" w:type="dxa"/>
            <w:vMerge w:val="continue"/>
            <w:noWrap w:val="0"/>
            <w:vAlign w:val="center"/>
          </w:tcPr>
          <w:p w14:paraId="68D7BECF">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eastAsia" w:ascii="Times New Roman" w:hAnsi="Times New Roman" w:eastAsia="宋体" w:cs="Times New Roman"/>
                <w:color w:val="auto"/>
                <w:kern w:val="0"/>
                <w:szCs w:val="21"/>
                <w:highlight w:val="none"/>
                <w:lang w:val="en-US" w:eastAsia="zh-CN"/>
              </w:rPr>
            </w:pPr>
          </w:p>
        </w:tc>
        <w:tc>
          <w:tcPr>
            <w:tcW w:w="1180" w:type="dxa"/>
            <w:noWrap w:val="0"/>
            <w:vAlign w:val="center"/>
          </w:tcPr>
          <w:p w14:paraId="6B1F18D3">
            <w:pPr>
              <w:pStyle w:val="11"/>
              <w:jc w:val="center"/>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Cs w:val="21"/>
                <w:highlight w:val="none"/>
                <w:lang w:val="en-US" w:eastAsia="zh-CN"/>
              </w:rPr>
              <w:t>颗粒物</w:t>
            </w:r>
            <w:r>
              <w:rPr>
                <w:rFonts w:hint="default" w:ascii="Times New Roman" w:hAnsi="Times New Roman" w:eastAsia="宋体" w:cs="Times New Roman"/>
                <w:color w:val="auto"/>
                <w:kern w:val="0"/>
                <w:szCs w:val="21"/>
                <w:highlight w:val="none"/>
              </w:rPr>
              <w:t>实测浓度</w:t>
            </w:r>
          </w:p>
        </w:tc>
        <w:tc>
          <w:tcPr>
            <w:tcW w:w="888" w:type="dxa"/>
            <w:noWrap w:val="0"/>
            <w:vAlign w:val="center"/>
          </w:tcPr>
          <w:p w14:paraId="6567FD02">
            <w:pPr>
              <w:ind w:left="-105" w:leftChars="-50" w:right="-105" w:rightChars="-5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mg/m</w:t>
            </w:r>
            <w:r>
              <w:rPr>
                <w:rFonts w:hint="default" w:ascii="Times New Roman" w:hAnsi="Times New Roman" w:eastAsia="宋体" w:cs="Times New Roman"/>
                <w:color w:val="auto"/>
                <w:highlight w:val="none"/>
                <w:vertAlign w:val="superscript"/>
              </w:rPr>
              <w:t>3</w:t>
            </w:r>
          </w:p>
        </w:tc>
        <w:tc>
          <w:tcPr>
            <w:tcW w:w="912" w:type="dxa"/>
            <w:noWrap w:val="0"/>
            <w:vAlign w:val="center"/>
          </w:tcPr>
          <w:p w14:paraId="061D4333">
            <w:pPr>
              <w:ind w:left="-105" w:leftChars="-50" w:right="-105" w:rightChars="-50"/>
              <w:jc w:val="center"/>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lang w:val="en-US" w:eastAsia="zh-CN"/>
              </w:rPr>
              <w:t>密封完好</w:t>
            </w:r>
          </w:p>
        </w:tc>
        <w:tc>
          <w:tcPr>
            <w:tcW w:w="907" w:type="dxa"/>
            <w:noWrap w:val="0"/>
            <w:vAlign w:val="center"/>
          </w:tcPr>
          <w:p w14:paraId="54D963A9">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2.6</w:t>
            </w:r>
          </w:p>
        </w:tc>
        <w:tc>
          <w:tcPr>
            <w:tcW w:w="907" w:type="dxa"/>
            <w:noWrap w:val="0"/>
            <w:vAlign w:val="center"/>
          </w:tcPr>
          <w:p w14:paraId="30526480">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2.9</w:t>
            </w:r>
          </w:p>
        </w:tc>
        <w:tc>
          <w:tcPr>
            <w:tcW w:w="907" w:type="dxa"/>
            <w:noWrap w:val="0"/>
            <w:vAlign w:val="center"/>
          </w:tcPr>
          <w:p w14:paraId="3A9875A0">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2.2</w:t>
            </w:r>
          </w:p>
        </w:tc>
        <w:tc>
          <w:tcPr>
            <w:tcW w:w="907" w:type="dxa"/>
            <w:noWrap w:val="0"/>
            <w:vAlign w:val="center"/>
          </w:tcPr>
          <w:p w14:paraId="4FC751D0">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fldChar w:fldCharType="begin"/>
            </w:r>
            <w:r>
              <w:rPr>
                <w:rFonts w:hint="default" w:ascii="Times New Roman" w:hAnsi="Times New Roman" w:eastAsia="宋体" w:cs="Times New Roman"/>
                <w:color w:val="auto"/>
                <w:kern w:val="0"/>
                <w:sz w:val="21"/>
                <w:szCs w:val="21"/>
                <w:highlight w:val="none"/>
                <w:lang w:val="en-US" w:eastAsia="zh-CN" w:bidi="ar-SA"/>
              </w:rPr>
              <w:instrText xml:space="preserve"> = average(F4:H4) \* MERGEFORMAT </w:instrText>
            </w:r>
            <w:r>
              <w:rPr>
                <w:rFonts w:hint="default" w:ascii="Times New Roman" w:hAnsi="Times New Roman" w:eastAsia="宋体" w:cs="Times New Roman"/>
                <w:color w:val="auto"/>
                <w:kern w:val="0"/>
                <w:sz w:val="21"/>
                <w:szCs w:val="21"/>
                <w:highlight w:val="none"/>
                <w:lang w:val="en-US" w:eastAsia="zh-CN" w:bidi="ar-SA"/>
              </w:rPr>
              <w:fldChar w:fldCharType="separate"/>
            </w:r>
            <w:r>
              <w:rPr>
                <w:rFonts w:hint="default" w:ascii="Times New Roman" w:hAnsi="Times New Roman" w:eastAsia="宋体" w:cs="Times New Roman"/>
                <w:color w:val="auto"/>
                <w:kern w:val="0"/>
                <w:sz w:val="21"/>
                <w:szCs w:val="21"/>
                <w:highlight w:val="none"/>
                <w:lang w:val="en-US" w:eastAsia="zh-CN" w:bidi="ar-SA"/>
              </w:rPr>
              <w:t>2.</w:t>
            </w:r>
            <w:r>
              <w:rPr>
                <w:rFonts w:hint="eastAsia" w:ascii="Times New Roman" w:hAnsi="Times New Roman" w:eastAsia="宋体" w:cs="Times New Roman"/>
                <w:color w:val="auto"/>
                <w:kern w:val="0"/>
                <w:sz w:val="21"/>
                <w:szCs w:val="21"/>
                <w:highlight w:val="none"/>
                <w:lang w:val="en-US" w:eastAsia="zh-CN" w:bidi="ar-SA"/>
              </w:rPr>
              <w:t>6</w:t>
            </w:r>
            <w:r>
              <w:rPr>
                <w:rFonts w:hint="default" w:ascii="Times New Roman" w:hAnsi="Times New Roman" w:eastAsia="宋体" w:cs="Times New Roman"/>
                <w:color w:val="auto"/>
                <w:kern w:val="0"/>
                <w:sz w:val="21"/>
                <w:szCs w:val="21"/>
                <w:highlight w:val="none"/>
                <w:lang w:val="en-US" w:eastAsia="zh-CN" w:bidi="ar-SA"/>
              </w:rPr>
              <w:fldChar w:fldCharType="end"/>
            </w:r>
          </w:p>
        </w:tc>
      </w:tr>
      <w:tr w14:paraId="327F8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24" w:type="dxa"/>
            <w:vMerge w:val="continue"/>
            <w:noWrap w:val="0"/>
            <w:vAlign w:val="center"/>
          </w:tcPr>
          <w:p w14:paraId="04610142">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eastAsia" w:ascii="Times New Roman" w:hAnsi="Times New Roman" w:eastAsia="宋体" w:cs="Times New Roman"/>
                <w:color w:val="auto"/>
                <w:kern w:val="0"/>
                <w:szCs w:val="21"/>
                <w:highlight w:val="none"/>
                <w:lang w:val="en-US" w:eastAsia="zh-CN"/>
              </w:rPr>
            </w:pPr>
          </w:p>
        </w:tc>
        <w:tc>
          <w:tcPr>
            <w:tcW w:w="1012" w:type="dxa"/>
            <w:vMerge w:val="continue"/>
            <w:noWrap w:val="0"/>
            <w:vAlign w:val="center"/>
          </w:tcPr>
          <w:p w14:paraId="6ED10468">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eastAsia" w:ascii="Times New Roman" w:hAnsi="Times New Roman" w:eastAsia="宋体" w:cs="Times New Roman"/>
                <w:color w:val="auto"/>
                <w:kern w:val="0"/>
                <w:szCs w:val="21"/>
                <w:highlight w:val="none"/>
                <w:lang w:val="en-US" w:eastAsia="zh-CN"/>
              </w:rPr>
            </w:pPr>
          </w:p>
        </w:tc>
        <w:tc>
          <w:tcPr>
            <w:tcW w:w="1180" w:type="dxa"/>
            <w:noWrap w:val="0"/>
            <w:vAlign w:val="center"/>
          </w:tcPr>
          <w:p w14:paraId="3481F367">
            <w:pPr>
              <w:pStyle w:val="11"/>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颗粒物排放速率</w:t>
            </w:r>
          </w:p>
        </w:tc>
        <w:tc>
          <w:tcPr>
            <w:tcW w:w="888" w:type="dxa"/>
            <w:noWrap w:val="0"/>
            <w:vAlign w:val="center"/>
          </w:tcPr>
          <w:p w14:paraId="7E6C3D97">
            <w:pPr>
              <w:ind w:left="-105" w:leftChars="-50" w:right="-105" w:rightChars="-50"/>
              <w:jc w:val="center"/>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kg/h</w:t>
            </w:r>
          </w:p>
        </w:tc>
        <w:tc>
          <w:tcPr>
            <w:tcW w:w="912" w:type="dxa"/>
            <w:noWrap w:val="0"/>
            <w:vAlign w:val="center"/>
          </w:tcPr>
          <w:p w14:paraId="682AA2CC">
            <w:pPr>
              <w:ind w:left="-105" w:leftChars="-50" w:right="-105" w:rightChars="-5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w:t>
            </w:r>
          </w:p>
        </w:tc>
        <w:tc>
          <w:tcPr>
            <w:tcW w:w="907" w:type="dxa"/>
            <w:noWrap w:val="0"/>
            <w:vAlign w:val="center"/>
          </w:tcPr>
          <w:p w14:paraId="013356F0">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5.3</w:t>
            </w:r>
            <w:r>
              <w:rPr>
                <w:rFonts w:hint="default" w:ascii="Arial" w:hAnsi="Arial" w:eastAsia="宋体" w:cs="Arial"/>
                <w:color w:val="auto"/>
                <w:kern w:val="0"/>
                <w:sz w:val="21"/>
                <w:szCs w:val="21"/>
                <w:highlight w:val="none"/>
                <w:lang w:val="en-US" w:eastAsia="zh-CN" w:bidi="ar-SA"/>
              </w:rPr>
              <w:t>×</w:t>
            </w:r>
            <w:r>
              <w:rPr>
                <w:rFonts w:hint="eastAsia" w:ascii="Times New Roman" w:hAnsi="Times New Roman" w:eastAsia="宋体" w:cs="Times New Roman"/>
                <w:color w:val="auto"/>
                <w:kern w:val="0"/>
                <w:sz w:val="21"/>
                <w:szCs w:val="21"/>
                <w:highlight w:val="none"/>
                <w:lang w:val="en-US" w:eastAsia="zh-CN" w:bidi="ar-SA"/>
              </w:rPr>
              <w:t>10</w:t>
            </w:r>
            <w:r>
              <w:rPr>
                <w:rFonts w:hint="eastAsia" w:ascii="Times New Roman" w:hAnsi="Times New Roman" w:eastAsia="宋体" w:cs="Times New Roman"/>
                <w:color w:val="auto"/>
                <w:kern w:val="0"/>
                <w:sz w:val="21"/>
                <w:szCs w:val="21"/>
                <w:highlight w:val="none"/>
                <w:vertAlign w:val="superscript"/>
                <w:lang w:val="en-US" w:eastAsia="zh-CN" w:bidi="ar-SA"/>
              </w:rPr>
              <w:t>-2</w:t>
            </w:r>
          </w:p>
        </w:tc>
        <w:tc>
          <w:tcPr>
            <w:tcW w:w="907" w:type="dxa"/>
            <w:noWrap w:val="0"/>
            <w:vAlign w:val="center"/>
          </w:tcPr>
          <w:p w14:paraId="11D29BF7">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6.0</w:t>
            </w:r>
            <w:r>
              <w:rPr>
                <w:rFonts w:hint="default" w:ascii="Arial" w:hAnsi="Arial" w:eastAsia="宋体" w:cs="Arial"/>
                <w:color w:val="auto"/>
                <w:kern w:val="0"/>
                <w:sz w:val="21"/>
                <w:szCs w:val="21"/>
                <w:highlight w:val="none"/>
                <w:lang w:val="en-US" w:eastAsia="zh-CN" w:bidi="ar-SA"/>
              </w:rPr>
              <w:t>×</w:t>
            </w:r>
            <w:r>
              <w:rPr>
                <w:rFonts w:hint="eastAsia" w:ascii="Times New Roman" w:hAnsi="Times New Roman" w:eastAsia="宋体" w:cs="Times New Roman"/>
                <w:color w:val="auto"/>
                <w:kern w:val="0"/>
                <w:sz w:val="21"/>
                <w:szCs w:val="21"/>
                <w:highlight w:val="none"/>
                <w:lang w:val="en-US" w:eastAsia="zh-CN" w:bidi="ar-SA"/>
              </w:rPr>
              <w:t>10</w:t>
            </w:r>
            <w:r>
              <w:rPr>
                <w:rFonts w:hint="eastAsia" w:ascii="Times New Roman" w:hAnsi="Times New Roman" w:eastAsia="宋体" w:cs="Times New Roman"/>
                <w:color w:val="auto"/>
                <w:kern w:val="0"/>
                <w:sz w:val="21"/>
                <w:szCs w:val="21"/>
                <w:highlight w:val="none"/>
                <w:vertAlign w:val="superscript"/>
                <w:lang w:val="en-US" w:eastAsia="zh-CN" w:bidi="ar-SA"/>
              </w:rPr>
              <w:t>-2</w:t>
            </w:r>
          </w:p>
        </w:tc>
        <w:tc>
          <w:tcPr>
            <w:tcW w:w="907" w:type="dxa"/>
            <w:noWrap w:val="0"/>
            <w:vAlign w:val="center"/>
          </w:tcPr>
          <w:p w14:paraId="244304BB">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4.6</w:t>
            </w:r>
            <w:r>
              <w:rPr>
                <w:rFonts w:hint="default" w:ascii="Arial" w:hAnsi="Arial" w:eastAsia="宋体" w:cs="Arial"/>
                <w:color w:val="auto"/>
                <w:kern w:val="0"/>
                <w:sz w:val="21"/>
                <w:szCs w:val="21"/>
                <w:highlight w:val="none"/>
                <w:lang w:val="en-US" w:eastAsia="zh-CN" w:bidi="ar-SA"/>
              </w:rPr>
              <w:t>×</w:t>
            </w:r>
            <w:r>
              <w:rPr>
                <w:rFonts w:hint="eastAsia" w:ascii="Times New Roman" w:hAnsi="Times New Roman" w:eastAsia="宋体" w:cs="Times New Roman"/>
                <w:color w:val="auto"/>
                <w:kern w:val="0"/>
                <w:sz w:val="21"/>
                <w:szCs w:val="21"/>
                <w:highlight w:val="none"/>
                <w:lang w:val="en-US" w:eastAsia="zh-CN" w:bidi="ar-SA"/>
              </w:rPr>
              <w:t>10</w:t>
            </w:r>
            <w:r>
              <w:rPr>
                <w:rFonts w:hint="eastAsia" w:ascii="Times New Roman" w:hAnsi="Times New Roman" w:eastAsia="宋体" w:cs="Times New Roman"/>
                <w:color w:val="auto"/>
                <w:kern w:val="0"/>
                <w:sz w:val="21"/>
                <w:szCs w:val="21"/>
                <w:highlight w:val="none"/>
                <w:vertAlign w:val="superscript"/>
                <w:lang w:val="en-US" w:eastAsia="zh-CN" w:bidi="ar-SA"/>
              </w:rPr>
              <w:t>-2</w:t>
            </w:r>
          </w:p>
        </w:tc>
        <w:tc>
          <w:tcPr>
            <w:tcW w:w="907" w:type="dxa"/>
            <w:noWrap w:val="0"/>
            <w:vAlign w:val="center"/>
          </w:tcPr>
          <w:p w14:paraId="4D9A0196">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fldChar w:fldCharType="begin"/>
            </w:r>
            <w:r>
              <w:rPr>
                <w:rFonts w:hint="default" w:ascii="Times New Roman" w:hAnsi="Times New Roman" w:eastAsia="宋体" w:cs="Times New Roman"/>
                <w:color w:val="auto"/>
                <w:kern w:val="0"/>
                <w:sz w:val="21"/>
                <w:szCs w:val="21"/>
                <w:highlight w:val="none"/>
                <w:lang w:val="en-US" w:eastAsia="zh-CN" w:bidi="ar-SA"/>
              </w:rPr>
              <w:instrText xml:space="preserve"> = average(F5:H5) \* MERGEFORMAT </w:instrText>
            </w:r>
            <w:r>
              <w:rPr>
                <w:rFonts w:hint="default" w:ascii="Times New Roman" w:hAnsi="Times New Roman" w:eastAsia="宋体" w:cs="Times New Roman"/>
                <w:color w:val="auto"/>
                <w:kern w:val="0"/>
                <w:sz w:val="21"/>
                <w:szCs w:val="21"/>
                <w:highlight w:val="none"/>
                <w:lang w:val="en-US" w:eastAsia="zh-CN" w:bidi="ar-SA"/>
              </w:rPr>
              <w:fldChar w:fldCharType="separate"/>
            </w:r>
            <w:r>
              <w:rPr>
                <w:rFonts w:hint="default" w:ascii="Times New Roman" w:hAnsi="Times New Roman" w:eastAsia="宋体" w:cs="Times New Roman"/>
                <w:color w:val="auto"/>
                <w:kern w:val="0"/>
                <w:sz w:val="21"/>
                <w:szCs w:val="21"/>
                <w:highlight w:val="none"/>
                <w:lang w:val="en-US" w:eastAsia="zh-CN" w:bidi="ar-SA"/>
              </w:rPr>
              <w:t>5.3</w:t>
            </w:r>
            <w:r>
              <w:rPr>
                <w:rFonts w:hint="default" w:ascii="Times New Roman" w:hAnsi="Times New Roman" w:eastAsia="宋体" w:cs="Times New Roman"/>
                <w:color w:val="auto"/>
                <w:kern w:val="0"/>
                <w:sz w:val="21"/>
                <w:szCs w:val="21"/>
                <w:highlight w:val="none"/>
                <w:lang w:val="en-US" w:eastAsia="zh-CN" w:bidi="ar-SA"/>
              </w:rPr>
              <w:fldChar w:fldCharType="end"/>
            </w:r>
            <w:r>
              <w:rPr>
                <w:rFonts w:hint="default" w:ascii="Arial" w:hAnsi="Arial" w:eastAsia="宋体" w:cs="Arial"/>
                <w:color w:val="auto"/>
                <w:kern w:val="0"/>
                <w:sz w:val="21"/>
                <w:szCs w:val="21"/>
                <w:highlight w:val="none"/>
                <w:lang w:val="en-US" w:eastAsia="zh-CN" w:bidi="ar-SA"/>
              </w:rPr>
              <w:t>×</w:t>
            </w:r>
            <w:r>
              <w:rPr>
                <w:rFonts w:hint="eastAsia" w:ascii="Times New Roman" w:hAnsi="Times New Roman" w:eastAsia="宋体" w:cs="Times New Roman"/>
                <w:color w:val="auto"/>
                <w:kern w:val="0"/>
                <w:sz w:val="21"/>
                <w:szCs w:val="21"/>
                <w:highlight w:val="none"/>
                <w:lang w:val="en-US" w:eastAsia="zh-CN" w:bidi="ar-SA"/>
              </w:rPr>
              <w:t>10</w:t>
            </w:r>
            <w:r>
              <w:rPr>
                <w:rFonts w:hint="eastAsia" w:ascii="Times New Roman" w:hAnsi="Times New Roman" w:eastAsia="宋体" w:cs="Times New Roman"/>
                <w:color w:val="auto"/>
                <w:kern w:val="0"/>
                <w:sz w:val="21"/>
                <w:szCs w:val="21"/>
                <w:highlight w:val="none"/>
                <w:vertAlign w:val="superscript"/>
                <w:lang w:val="en-US" w:eastAsia="zh-CN" w:bidi="ar-SA"/>
              </w:rPr>
              <w:t>-2</w:t>
            </w:r>
          </w:p>
        </w:tc>
      </w:tr>
      <w:tr w14:paraId="57915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24" w:type="dxa"/>
            <w:vMerge w:val="restart"/>
            <w:noWrap w:val="0"/>
            <w:vAlign w:val="center"/>
          </w:tcPr>
          <w:p w14:paraId="73416CDA">
            <w:pPr>
              <w:ind w:left="-105" w:leftChars="-50" w:right="-105" w:rightChars="-50"/>
              <w:jc w:val="center"/>
              <w:rPr>
                <w:rFonts w:hint="eastAsia"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阳极氧化废气排放口</w:t>
            </w:r>
            <w:r>
              <w:rPr>
                <w:rFonts w:hint="eastAsia" w:ascii="Times New Roman" w:hAnsi="Times New Roman" w:eastAsia="宋体" w:cs="Times New Roman"/>
                <w:color w:val="auto"/>
                <w:kern w:val="0"/>
                <w:szCs w:val="21"/>
                <w:highlight w:val="none"/>
                <w:lang w:val="en-US" w:eastAsia="zh-CN"/>
              </w:rPr>
              <w:t>DA002</w:t>
            </w:r>
          </w:p>
        </w:tc>
        <w:tc>
          <w:tcPr>
            <w:tcW w:w="1012" w:type="dxa"/>
            <w:vMerge w:val="restart"/>
            <w:noWrap w:val="0"/>
            <w:vAlign w:val="center"/>
          </w:tcPr>
          <w:p w14:paraId="17565661">
            <w:pPr>
              <w:ind w:left="-105" w:leftChars="-50" w:right="-105" w:rightChars="-5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2026.03.23</w:t>
            </w:r>
          </w:p>
        </w:tc>
        <w:tc>
          <w:tcPr>
            <w:tcW w:w="1180" w:type="dxa"/>
            <w:noWrap w:val="0"/>
            <w:vAlign w:val="center"/>
          </w:tcPr>
          <w:p w14:paraId="4F146491">
            <w:pPr>
              <w:ind w:left="-105" w:leftChars="-50" w:right="-105" w:rightChars="-50"/>
              <w:jc w:val="center"/>
              <w:rPr>
                <w:rFonts w:hint="eastAsia"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Cs w:val="21"/>
                <w:highlight w:val="none"/>
              </w:rPr>
              <w:t>标干流量</w:t>
            </w:r>
          </w:p>
        </w:tc>
        <w:tc>
          <w:tcPr>
            <w:tcW w:w="888" w:type="dxa"/>
            <w:noWrap w:val="0"/>
            <w:vAlign w:val="center"/>
          </w:tcPr>
          <w:p w14:paraId="2706DC03">
            <w:pPr>
              <w:ind w:left="-105" w:leftChars="-50" w:right="-105" w:rightChars="-50"/>
              <w:jc w:val="center"/>
              <w:rPr>
                <w:rFonts w:hint="eastAsia"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kern w:val="0"/>
                <w:szCs w:val="21"/>
                <w:highlight w:val="none"/>
              </w:rPr>
              <w:t>m</w:t>
            </w:r>
            <w:r>
              <w:rPr>
                <w:rFonts w:hint="default" w:ascii="Times New Roman" w:hAnsi="Times New Roman" w:eastAsia="宋体" w:cs="Times New Roman"/>
                <w:color w:val="auto"/>
                <w:kern w:val="0"/>
                <w:szCs w:val="21"/>
                <w:highlight w:val="none"/>
                <w:vertAlign w:val="superscript"/>
              </w:rPr>
              <w:t>3</w:t>
            </w:r>
            <w:r>
              <w:rPr>
                <w:rFonts w:hint="default" w:ascii="Times New Roman" w:hAnsi="Times New Roman" w:eastAsia="宋体" w:cs="Times New Roman"/>
                <w:color w:val="auto"/>
                <w:kern w:val="0"/>
                <w:szCs w:val="21"/>
                <w:highlight w:val="none"/>
              </w:rPr>
              <w:t>/h</w:t>
            </w:r>
          </w:p>
        </w:tc>
        <w:tc>
          <w:tcPr>
            <w:tcW w:w="912" w:type="dxa"/>
            <w:noWrap w:val="0"/>
            <w:vAlign w:val="center"/>
          </w:tcPr>
          <w:p w14:paraId="04F21DB5">
            <w:pPr>
              <w:ind w:left="-105" w:leftChars="-50" w:right="-105" w:rightChars="-5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w:t>
            </w:r>
          </w:p>
        </w:tc>
        <w:tc>
          <w:tcPr>
            <w:tcW w:w="907" w:type="dxa"/>
            <w:noWrap w:val="0"/>
            <w:vAlign w:val="center"/>
          </w:tcPr>
          <w:p w14:paraId="0152A3CB">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2731</w:t>
            </w:r>
          </w:p>
        </w:tc>
        <w:tc>
          <w:tcPr>
            <w:tcW w:w="907" w:type="dxa"/>
            <w:noWrap w:val="0"/>
            <w:vAlign w:val="center"/>
          </w:tcPr>
          <w:p w14:paraId="542F733A">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2882</w:t>
            </w:r>
          </w:p>
        </w:tc>
        <w:tc>
          <w:tcPr>
            <w:tcW w:w="907" w:type="dxa"/>
            <w:noWrap w:val="0"/>
            <w:vAlign w:val="center"/>
          </w:tcPr>
          <w:p w14:paraId="577BE322">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2821</w:t>
            </w:r>
          </w:p>
        </w:tc>
        <w:tc>
          <w:tcPr>
            <w:tcW w:w="907" w:type="dxa"/>
            <w:noWrap w:val="0"/>
            <w:vAlign w:val="center"/>
          </w:tcPr>
          <w:p w14:paraId="7DE907A3">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fldChar w:fldCharType="begin"/>
            </w:r>
            <w:r>
              <w:rPr>
                <w:rFonts w:hint="default" w:ascii="Times New Roman" w:hAnsi="Times New Roman" w:eastAsia="宋体" w:cs="Times New Roman"/>
                <w:color w:val="auto"/>
                <w:kern w:val="0"/>
                <w:sz w:val="21"/>
                <w:szCs w:val="21"/>
                <w:highlight w:val="none"/>
                <w:lang w:val="en-US" w:eastAsia="zh-CN" w:bidi="ar-SA"/>
              </w:rPr>
              <w:instrText xml:space="preserve"> = average(F6:H6) \* MERGEFORMAT </w:instrText>
            </w:r>
            <w:r>
              <w:rPr>
                <w:rFonts w:hint="default" w:ascii="Times New Roman" w:hAnsi="Times New Roman" w:eastAsia="宋体" w:cs="Times New Roman"/>
                <w:color w:val="auto"/>
                <w:kern w:val="0"/>
                <w:sz w:val="21"/>
                <w:szCs w:val="21"/>
                <w:highlight w:val="none"/>
                <w:lang w:val="en-US" w:eastAsia="zh-CN" w:bidi="ar-SA"/>
              </w:rPr>
              <w:fldChar w:fldCharType="separate"/>
            </w:r>
            <w:r>
              <w:rPr>
                <w:rFonts w:hint="default" w:ascii="Times New Roman" w:hAnsi="Times New Roman" w:eastAsia="宋体" w:cs="Times New Roman"/>
                <w:color w:val="auto"/>
                <w:kern w:val="0"/>
                <w:sz w:val="21"/>
                <w:szCs w:val="21"/>
                <w:highlight w:val="none"/>
                <w:lang w:val="en-US" w:eastAsia="zh-CN" w:bidi="ar-SA"/>
              </w:rPr>
              <w:t>2811</w:t>
            </w:r>
            <w:r>
              <w:rPr>
                <w:rFonts w:hint="default" w:ascii="Times New Roman" w:hAnsi="Times New Roman" w:eastAsia="宋体" w:cs="Times New Roman"/>
                <w:color w:val="auto"/>
                <w:kern w:val="0"/>
                <w:sz w:val="21"/>
                <w:szCs w:val="21"/>
                <w:highlight w:val="none"/>
                <w:lang w:val="en-US" w:eastAsia="zh-CN" w:bidi="ar-SA"/>
              </w:rPr>
              <w:fldChar w:fldCharType="end"/>
            </w:r>
          </w:p>
        </w:tc>
      </w:tr>
      <w:tr w14:paraId="0FCB9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24" w:type="dxa"/>
            <w:vMerge w:val="continue"/>
            <w:noWrap w:val="0"/>
            <w:vAlign w:val="center"/>
          </w:tcPr>
          <w:p w14:paraId="15B263AC">
            <w:pPr>
              <w:ind w:left="-105" w:leftChars="-50" w:right="-105" w:rightChars="-50"/>
              <w:jc w:val="center"/>
              <w:rPr>
                <w:rFonts w:hint="eastAsia" w:ascii="Times New Roman" w:hAnsi="Times New Roman" w:eastAsia="宋体" w:cs="Times New Roman"/>
                <w:color w:val="auto"/>
                <w:kern w:val="0"/>
                <w:szCs w:val="21"/>
                <w:highlight w:val="none"/>
                <w:lang w:val="en-US" w:eastAsia="zh-CN"/>
              </w:rPr>
            </w:pPr>
          </w:p>
        </w:tc>
        <w:tc>
          <w:tcPr>
            <w:tcW w:w="1012" w:type="dxa"/>
            <w:vMerge w:val="continue"/>
            <w:noWrap w:val="0"/>
            <w:vAlign w:val="center"/>
          </w:tcPr>
          <w:p w14:paraId="651227C1">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eastAsia" w:ascii="Times New Roman" w:hAnsi="Times New Roman" w:eastAsia="宋体" w:cs="Times New Roman"/>
                <w:color w:val="auto"/>
                <w:kern w:val="0"/>
                <w:szCs w:val="21"/>
                <w:highlight w:val="none"/>
                <w:lang w:val="en-US" w:eastAsia="zh-CN"/>
              </w:rPr>
            </w:pPr>
          </w:p>
        </w:tc>
        <w:tc>
          <w:tcPr>
            <w:tcW w:w="1180" w:type="dxa"/>
            <w:noWrap w:val="0"/>
            <w:vAlign w:val="center"/>
          </w:tcPr>
          <w:p w14:paraId="28B84EE2">
            <w:pPr>
              <w:pStyle w:val="11"/>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硫酸雾</w:t>
            </w:r>
            <w:r>
              <w:rPr>
                <w:rFonts w:hint="default" w:ascii="Times New Roman" w:hAnsi="Times New Roman" w:eastAsia="宋体" w:cs="Times New Roman"/>
                <w:color w:val="auto"/>
                <w:kern w:val="0"/>
                <w:sz w:val="21"/>
                <w:szCs w:val="21"/>
                <w:highlight w:val="none"/>
                <w:lang w:val="en-US" w:eastAsia="zh-CN" w:bidi="ar-SA"/>
              </w:rPr>
              <w:t>实测浓度</w:t>
            </w:r>
          </w:p>
        </w:tc>
        <w:tc>
          <w:tcPr>
            <w:tcW w:w="888" w:type="dxa"/>
            <w:noWrap w:val="0"/>
            <w:vAlign w:val="center"/>
          </w:tcPr>
          <w:p w14:paraId="739B7E8D">
            <w:pPr>
              <w:ind w:left="-105" w:leftChars="-50" w:right="-105" w:rightChars="-50"/>
              <w:jc w:val="center"/>
              <w:rPr>
                <w:rFonts w:hint="eastAsia"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mg/m</w:t>
            </w:r>
            <w:r>
              <w:rPr>
                <w:rFonts w:hint="default" w:ascii="Times New Roman" w:hAnsi="Times New Roman" w:eastAsia="宋体" w:cs="Times New Roman"/>
                <w:color w:val="auto"/>
                <w:highlight w:val="none"/>
                <w:vertAlign w:val="superscript"/>
              </w:rPr>
              <w:t>3</w:t>
            </w:r>
          </w:p>
        </w:tc>
        <w:tc>
          <w:tcPr>
            <w:tcW w:w="912" w:type="dxa"/>
            <w:noWrap w:val="0"/>
            <w:vAlign w:val="center"/>
          </w:tcPr>
          <w:p w14:paraId="3D7A9ACC">
            <w:pPr>
              <w:ind w:left="-105" w:leftChars="-50" w:right="-105" w:rightChars="-5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密封完好</w:t>
            </w:r>
          </w:p>
          <w:p w14:paraId="4B77A756">
            <w:pPr>
              <w:ind w:left="-105" w:leftChars="-50" w:right="-105" w:rightChars="-50"/>
              <w:jc w:val="center"/>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lang w:val="en-US" w:eastAsia="zh-CN"/>
              </w:rPr>
              <w:t>无漏液</w:t>
            </w:r>
          </w:p>
        </w:tc>
        <w:tc>
          <w:tcPr>
            <w:tcW w:w="907" w:type="dxa"/>
            <w:noWrap w:val="0"/>
            <w:vAlign w:val="center"/>
          </w:tcPr>
          <w:p w14:paraId="6539A71D">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2.24</w:t>
            </w:r>
          </w:p>
        </w:tc>
        <w:tc>
          <w:tcPr>
            <w:tcW w:w="907" w:type="dxa"/>
            <w:noWrap w:val="0"/>
            <w:vAlign w:val="center"/>
          </w:tcPr>
          <w:p w14:paraId="48D42ACF">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2.02</w:t>
            </w:r>
          </w:p>
        </w:tc>
        <w:tc>
          <w:tcPr>
            <w:tcW w:w="907" w:type="dxa"/>
            <w:noWrap w:val="0"/>
            <w:vAlign w:val="center"/>
          </w:tcPr>
          <w:p w14:paraId="21EB92C2">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2.03</w:t>
            </w:r>
          </w:p>
        </w:tc>
        <w:tc>
          <w:tcPr>
            <w:tcW w:w="907" w:type="dxa"/>
            <w:noWrap w:val="0"/>
            <w:vAlign w:val="center"/>
          </w:tcPr>
          <w:p w14:paraId="7E9E0802">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fldChar w:fldCharType="begin"/>
            </w:r>
            <w:r>
              <w:rPr>
                <w:rFonts w:hint="default" w:ascii="Times New Roman" w:hAnsi="Times New Roman" w:eastAsia="宋体" w:cs="Times New Roman"/>
                <w:color w:val="auto"/>
                <w:kern w:val="0"/>
                <w:sz w:val="21"/>
                <w:szCs w:val="21"/>
                <w:highlight w:val="none"/>
                <w:lang w:val="en-US" w:eastAsia="zh-CN" w:bidi="ar-SA"/>
              </w:rPr>
              <w:instrText xml:space="preserve"> = average(F7:H7) \* MERGEFORMAT </w:instrText>
            </w:r>
            <w:r>
              <w:rPr>
                <w:rFonts w:hint="default" w:ascii="Times New Roman" w:hAnsi="Times New Roman" w:eastAsia="宋体" w:cs="Times New Roman"/>
                <w:color w:val="auto"/>
                <w:kern w:val="0"/>
                <w:sz w:val="21"/>
                <w:szCs w:val="21"/>
                <w:highlight w:val="none"/>
                <w:lang w:val="en-US" w:eastAsia="zh-CN" w:bidi="ar-SA"/>
              </w:rPr>
              <w:fldChar w:fldCharType="separate"/>
            </w:r>
            <w:r>
              <w:rPr>
                <w:rFonts w:hint="default" w:ascii="Times New Roman" w:hAnsi="Times New Roman" w:eastAsia="宋体" w:cs="Times New Roman"/>
                <w:color w:val="auto"/>
                <w:kern w:val="0"/>
                <w:sz w:val="21"/>
                <w:szCs w:val="21"/>
                <w:highlight w:val="none"/>
                <w:lang w:val="en-US" w:eastAsia="zh-CN" w:bidi="ar-SA"/>
              </w:rPr>
              <w:t>2.</w:t>
            </w:r>
            <w:r>
              <w:rPr>
                <w:rFonts w:hint="eastAsia" w:ascii="Times New Roman" w:hAnsi="Times New Roman" w:eastAsia="宋体" w:cs="Times New Roman"/>
                <w:color w:val="auto"/>
                <w:kern w:val="0"/>
                <w:sz w:val="21"/>
                <w:szCs w:val="21"/>
                <w:highlight w:val="none"/>
                <w:lang w:val="en-US" w:eastAsia="zh-CN" w:bidi="ar-SA"/>
              </w:rPr>
              <w:t>1</w:t>
            </w:r>
            <w:r>
              <w:rPr>
                <w:rFonts w:hint="default" w:ascii="Times New Roman" w:hAnsi="Times New Roman" w:eastAsia="宋体" w:cs="Times New Roman"/>
                <w:color w:val="auto"/>
                <w:kern w:val="0"/>
                <w:sz w:val="21"/>
                <w:szCs w:val="21"/>
                <w:highlight w:val="none"/>
                <w:lang w:val="en-US" w:eastAsia="zh-CN" w:bidi="ar-SA"/>
              </w:rPr>
              <w:fldChar w:fldCharType="end"/>
            </w:r>
            <w:r>
              <w:rPr>
                <w:rFonts w:hint="eastAsia" w:ascii="Times New Roman" w:hAnsi="Times New Roman" w:eastAsia="宋体" w:cs="Times New Roman"/>
                <w:color w:val="auto"/>
                <w:kern w:val="0"/>
                <w:sz w:val="21"/>
                <w:szCs w:val="21"/>
                <w:highlight w:val="none"/>
                <w:lang w:val="en-US" w:eastAsia="zh-CN" w:bidi="ar-SA"/>
              </w:rPr>
              <w:t>0</w:t>
            </w:r>
          </w:p>
        </w:tc>
      </w:tr>
      <w:tr w14:paraId="0540B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24" w:type="dxa"/>
            <w:vMerge w:val="continue"/>
            <w:noWrap w:val="0"/>
            <w:vAlign w:val="center"/>
          </w:tcPr>
          <w:p w14:paraId="06B94A30">
            <w:pPr>
              <w:ind w:left="-105" w:leftChars="-50" w:right="-105" w:rightChars="-50"/>
              <w:jc w:val="center"/>
              <w:rPr>
                <w:rFonts w:hint="eastAsia" w:ascii="Times New Roman" w:hAnsi="Times New Roman" w:eastAsia="宋体" w:cs="Times New Roman"/>
                <w:color w:val="auto"/>
                <w:kern w:val="0"/>
                <w:szCs w:val="21"/>
                <w:highlight w:val="none"/>
                <w:lang w:val="en-US" w:eastAsia="zh-CN"/>
              </w:rPr>
            </w:pPr>
          </w:p>
        </w:tc>
        <w:tc>
          <w:tcPr>
            <w:tcW w:w="1012" w:type="dxa"/>
            <w:vMerge w:val="continue"/>
            <w:noWrap w:val="0"/>
            <w:vAlign w:val="center"/>
          </w:tcPr>
          <w:p w14:paraId="2772D2BD">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eastAsia" w:ascii="Times New Roman" w:hAnsi="Times New Roman" w:eastAsia="宋体" w:cs="Times New Roman"/>
                <w:color w:val="auto"/>
                <w:kern w:val="0"/>
                <w:szCs w:val="21"/>
                <w:highlight w:val="none"/>
                <w:lang w:val="en-US" w:eastAsia="zh-CN"/>
              </w:rPr>
            </w:pPr>
          </w:p>
        </w:tc>
        <w:tc>
          <w:tcPr>
            <w:tcW w:w="1180" w:type="dxa"/>
            <w:noWrap w:val="0"/>
            <w:vAlign w:val="center"/>
          </w:tcPr>
          <w:p w14:paraId="7A1CDE4A">
            <w:pPr>
              <w:ind w:left="-105" w:leftChars="-50" w:right="-105" w:rightChars="-50"/>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硫酸雾</w:t>
            </w:r>
            <w:r>
              <w:rPr>
                <w:rFonts w:hint="default" w:ascii="Times New Roman" w:hAnsi="Times New Roman" w:eastAsia="宋体" w:cs="Times New Roman"/>
                <w:color w:val="auto"/>
                <w:kern w:val="0"/>
                <w:sz w:val="21"/>
                <w:szCs w:val="21"/>
                <w:highlight w:val="none"/>
                <w:lang w:val="en-US" w:eastAsia="zh-CN" w:bidi="ar-SA"/>
              </w:rPr>
              <w:t>排放速率</w:t>
            </w:r>
          </w:p>
        </w:tc>
        <w:tc>
          <w:tcPr>
            <w:tcW w:w="888" w:type="dxa"/>
            <w:noWrap w:val="0"/>
            <w:vAlign w:val="center"/>
          </w:tcPr>
          <w:p w14:paraId="6AB39ACB">
            <w:pPr>
              <w:ind w:left="-105" w:leftChars="-50" w:right="-105" w:rightChars="-50"/>
              <w:jc w:val="center"/>
              <w:rPr>
                <w:rFonts w:hint="eastAsia"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kern w:val="0"/>
                <w:szCs w:val="21"/>
                <w:highlight w:val="none"/>
              </w:rPr>
              <w:t>kg/h</w:t>
            </w:r>
          </w:p>
        </w:tc>
        <w:tc>
          <w:tcPr>
            <w:tcW w:w="912" w:type="dxa"/>
            <w:noWrap w:val="0"/>
            <w:vAlign w:val="center"/>
          </w:tcPr>
          <w:p w14:paraId="7F4BF459">
            <w:pPr>
              <w:ind w:left="-105" w:leftChars="-50" w:right="-105" w:rightChars="-5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w:t>
            </w:r>
          </w:p>
        </w:tc>
        <w:tc>
          <w:tcPr>
            <w:tcW w:w="907" w:type="dxa"/>
            <w:noWrap w:val="0"/>
            <w:vAlign w:val="center"/>
          </w:tcPr>
          <w:p w14:paraId="534A3AA0">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6.1</w:t>
            </w:r>
            <w:r>
              <w:rPr>
                <w:rFonts w:hint="default" w:ascii="Arial" w:hAnsi="Arial" w:eastAsia="宋体" w:cs="Arial"/>
                <w:color w:val="auto"/>
                <w:kern w:val="0"/>
                <w:sz w:val="21"/>
                <w:szCs w:val="21"/>
                <w:highlight w:val="none"/>
                <w:lang w:val="en-US" w:eastAsia="zh-CN" w:bidi="ar-SA"/>
              </w:rPr>
              <w:t>×</w:t>
            </w:r>
            <w:r>
              <w:rPr>
                <w:rFonts w:hint="eastAsia" w:ascii="Times New Roman" w:hAnsi="Times New Roman" w:eastAsia="宋体" w:cs="Times New Roman"/>
                <w:color w:val="auto"/>
                <w:kern w:val="0"/>
                <w:sz w:val="21"/>
                <w:szCs w:val="21"/>
                <w:highlight w:val="none"/>
                <w:lang w:val="en-US" w:eastAsia="zh-CN" w:bidi="ar-SA"/>
              </w:rPr>
              <w:t>10</w:t>
            </w:r>
            <w:r>
              <w:rPr>
                <w:rFonts w:hint="eastAsia" w:ascii="Times New Roman" w:hAnsi="Times New Roman" w:eastAsia="宋体" w:cs="Times New Roman"/>
                <w:color w:val="auto"/>
                <w:kern w:val="0"/>
                <w:sz w:val="21"/>
                <w:szCs w:val="21"/>
                <w:highlight w:val="none"/>
                <w:vertAlign w:val="superscript"/>
                <w:lang w:val="en-US" w:eastAsia="zh-CN" w:bidi="ar-SA"/>
              </w:rPr>
              <w:t>-3</w:t>
            </w:r>
          </w:p>
        </w:tc>
        <w:tc>
          <w:tcPr>
            <w:tcW w:w="907" w:type="dxa"/>
            <w:noWrap w:val="0"/>
            <w:vAlign w:val="center"/>
          </w:tcPr>
          <w:p w14:paraId="075923DC">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5.8</w:t>
            </w:r>
            <w:r>
              <w:rPr>
                <w:rFonts w:hint="default" w:ascii="Arial" w:hAnsi="Arial" w:eastAsia="宋体" w:cs="Arial"/>
                <w:color w:val="auto"/>
                <w:kern w:val="0"/>
                <w:sz w:val="21"/>
                <w:szCs w:val="21"/>
                <w:highlight w:val="none"/>
                <w:lang w:val="en-US" w:eastAsia="zh-CN" w:bidi="ar-SA"/>
              </w:rPr>
              <w:t>×</w:t>
            </w:r>
            <w:r>
              <w:rPr>
                <w:rFonts w:hint="eastAsia" w:ascii="Times New Roman" w:hAnsi="Times New Roman" w:eastAsia="宋体" w:cs="Times New Roman"/>
                <w:color w:val="auto"/>
                <w:kern w:val="0"/>
                <w:sz w:val="21"/>
                <w:szCs w:val="21"/>
                <w:highlight w:val="none"/>
                <w:lang w:val="en-US" w:eastAsia="zh-CN" w:bidi="ar-SA"/>
              </w:rPr>
              <w:t>10</w:t>
            </w:r>
            <w:r>
              <w:rPr>
                <w:rFonts w:hint="eastAsia" w:ascii="Times New Roman" w:hAnsi="Times New Roman" w:eastAsia="宋体" w:cs="Times New Roman"/>
                <w:color w:val="auto"/>
                <w:kern w:val="0"/>
                <w:sz w:val="21"/>
                <w:szCs w:val="21"/>
                <w:highlight w:val="none"/>
                <w:vertAlign w:val="superscript"/>
                <w:lang w:val="en-US" w:eastAsia="zh-CN" w:bidi="ar-SA"/>
              </w:rPr>
              <w:t>-3</w:t>
            </w:r>
          </w:p>
        </w:tc>
        <w:tc>
          <w:tcPr>
            <w:tcW w:w="907" w:type="dxa"/>
            <w:noWrap w:val="0"/>
            <w:vAlign w:val="center"/>
          </w:tcPr>
          <w:p w14:paraId="7059D733">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5.7</w:t>
            </w:r>
            <w:r>
              <w:rPr>
                <w:rFonts w:hint="default" w:ascii="Arial" w:hAnsi="Arial" w:eastAsia="宋体" w:cs="Arial"/>
                <w:color w:val="auto"/>
                <w:kern w:val="0"/>
                <w:sz w:val="21"/>
                <w:szCs w:val="21"/>
                <w:highlight w:val="none"/>
                <w:lang w:val="en-US" w:eastAsia="zh-CN" w:bidi="ar-SA"/>
              </w:rPr>
              <w:t>×</w:t>
            </w:r>
            <w:r>
              <w:rPr>
                <w:rFonts w:hint="eastAsia" w:ascii="Times New Roman" w:hAnsi="Times New Roman" w:eastAsia="宋体" w:cs="Times New Roman"/>
                <w:color w:val="auto"/>
                <w:kern w:val="0"/>
                <w:sz w:val="21"/>
                <w:szCs w:val="21"/>
                <w:highlight w:val="none"/>
                <w:lang w:val="en-US" w:eastAsia="zh-CN" w:bidi="ar-SA"/>
              </w:rPr>
              <w:t>10</w:t>
            </w:r>
            <w:r>
              <w:rPr>
                <w:rFonts w:hint="eastAsia" w:ascii="Times New Roman" w:hAnsi="Times New Roman" w:eastAsia="宋体" w:cs="Times New Roman"/>
                <w:color w:val="auto"/>
                <w:kern w:val="0"/>
                <w:sz w:val="21"/>
                <w:szCs w:val="21"/>
                <w:highlight w:val="none"/>
                <w:vertAlign w:val="superscript"/>
                <w:lang w:val="en-US" w:eastAsia="zh-CN" w:bidi="ar-SA"/>
              </w:rPr>
              <w:t>-3</w:t>
            </w:r>
          </w:p>
        </w:tc>
        <w:tc>
          <w:tcPr>
            <w:tcW w:w="907" w:type="dxa"/>
            <w:noWrap w:val="0"/>
            <w:vAlign w:val="center"/>
          </w:tcPr>
          <w:p w14:paraId="470589EF">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fldChar w:fldCharType="begin"/>
            </w:r>
            <w:r>
              <w:rPr>
                <w:rFonts w:hint="default" w:ascii="Times New Roman" w:hAnsi="Times New Roman" w:eastAsia="宋体" w:cs="Times New Roman"/>
                <w:color w:val="auto"/>
                <w:kern w:val="0"/>
                <w:sz w:val="21"/>
                <w:szCs w:val="21"/>
                <w:highlight w:val="none"/>
                <w:lang w:val="en-US" w:eastAsia="zh-CN" w:bidi="ar-SA"/>
              </w:rPr>
              <w:instrText xml:space="preserve"> = average(F8:H8) \* MERGEFORMAT </w:instrText>
            </w:r>
            <w:r>
              <w:rPr>
                <w:rFonts w:hint="default" w:ascii="Times New Roman" w:hAnsi="Times New Roman" w:eastAsia="宋体" w:cs="Times New Roman"/>
                <w:color w:val="auto"/>
                <w:kern w:val="0"/>
                <w:sz w:val="21"/>
                <w:szCs w:val="21"/>
                <w:highlight w:val="none"/>
                <w:lang w:val="en-US" w:eastAsia="zh-CN" w:bidi="ar-SA"/>
              </w:rPr>
              <w:fldChar w:fldCharType="separate"/>
            </w:r>
            <w:r>
              <w:rPr>
                <w:rFonts w:hint="default" w:ascii="Times New Roman" w:hAnsi="Times New Roman" w:eastAsia="宋体" w:cs="Times New Roman"/>
                <w:color w:val="auto"/>
                <w:kern w:val="0"/>
                <w:sz w:val="21"/>
                <w:szCs w:val="21"/>
                <w:highlight w:val="none"/>
                <w:lang w:val="en-US" w:eastAsia="zh-CN" w:bidi="ar-SA"/>
              </w:rPr>
              <w:t>5.</w:t>
            </w:r>
            <w:r>
              <w:rPr>
                <w:rFonts w:hint="eastAsia" w:ascii="Times New Roman" w:hAnsi="Times New Roman" w:eastAsia="宋体" w:cs="Times New Roman"/>
                <w:color w:val="auto"/>
                <w:kern w:val="0"/>
                <w:sz w:val="21"/>
                <w:szCs w:val="21"/>
                <w:highlight w:val="none"/>
                <w:lang w:val="en-US" w:eastAsia="zh-CN" w:bidi="ar-SA"/>
              </w:rPr>
              <w:t>9</w:t>
            </w:r>
            <w:r>
              <w:rPr>
                <w:rFonts w:hint="default" w:ascii="Times New Roman" w:hAnsi="Times New Roman" w:eastAsia="宋体" w:cs="Times New Roman"/>
                <w:color w:val="auto"/>
                <w:kern w:val="0"/>
                <w:sz w:val="21"/>
                <w:szCs w:val="21"/>
                <w:highlight w:val="none"/>
                <w:lang w:val="en-US" w:eastAsia="zh-CN" w:bidi="ar-SA"/>
              </w:rPr>
              <w:fldChar w:fldCharType="end"/>
            </w:r>
            <w:r>
              <w:rPr>
                <w:rFonts w:hint="default" w:ascii="Arial" w:hAnsi="Arial" w:eastAsia="宋体" w:cs="Arial"/>
                <w:color w:val="auto"/>
                <w:kern w:val="0"/>
                <w:sz w:val="21"/>
                <w:szCs w:val="21"/>
                <w:highlight w:val="none"/>
                <w:lang w:val="en-US" w:eastAsia="zh-CN" w:bidi="ar-SA"/>
              </w:rPr>
              <w:t>×</w:t>
            </w:r>
            <w:r>
              <w:rPr>
                <w:rFonts w:hint="eastAsia" w:ascii="Times New Roman" w:hAnsi="Times New Roman" w:eastAsia="宋体" w:cs="Times New Roman"/>
                <w:color w:val="auto"/>
                <w:kern w:val="0"/>
                <w:sz w:val="21"/>
                <w:szCs w:val="21"/>
                <w:highlight w:val="none"/>
                <w:lang w:val="en-US" w:eastAsia="zh-CN" w:bidi="ar-SA"/>
              </w:rPr>
              <w:t>10</w:t>
            </w:r>
            <w:r>
              <w:rPr>
                <w:rFonts w:hint="eastAsia" w:ascii="Times New Roman" w:hAnsi="Times New Roman" w:eastAsia="宋体" w:cs="Times New Roman"/>
                <w:color w:val="auto"/>
                <w:kern w:val="0"/>
                <w:sz w:val="21"/>
                <w:szCs w:val="21"/>
                <w:highlight w:val="none"/>
                <w:vertAlign w:val="superscript"/>
                <w:lang w:val="en-US" w:eastAsia="zh-CN" w:bidi="ar-SA"/>
              </w:rPr>
              <w:t>-3</w:t>
            </w:r>
          </w:p>
        </w:tc>
      </w:tr>
      <w:tr w14:paraId="37597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24" w:type="dxa"/>
            <w:vMerge w:val="restart"/>
            <w:noWrap w:val="0"/>
            <w:vAlign w:val="center"/>
          </w:tcPr>
          <w:p w14:paraId="5B8145D2">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eastAsia"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抛光废气排放口</w:t>
            </w:r>
            <w:r>
              <w:rPr>
                <w:rFonts w:hint="eastAsia" w:ascii="Times New Roman" w:hAnsi="Times New Roman" w:eastAsia="宋体" w:cs="Times New Roman"/>
                <w:color w:val="auto"/>
                <w:kern w:val="0"/>
                <w:sz w:val="21"/>
                <w:szCs w:val="21"/>
                <w:highlight w:val="none"/>
                <w:lang w:val="en-US" w:eastAsia="zh-CN" w:bidi="ar-SA"/>
              </w:rPr>
              <w:t>DA001</w:t>
            </w:r>
          </w:p>
        </w:tc>
        <w:tc>
          <w:tcPr>
            <w:tcW w:w="1012" w:type="dxa"/>
            <w:vMerge w:val="restart"/>
            <w:noWrap w:val="0"/>
            <w:vAlign w:val="center"/>
          </w:tcPr>
          <w:p w14:paraId="19E9D59E">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bidi="ar-SA"/>
              </w:rPr>
              <w:t>2026.03.24</w:t>
            </w:r>
          </w:p>
        </w:tc>
        <w:tc>
          <w:tcPr>
            <w:tcW w:w="1180" w:type="dxa"/>
            <w:noWrap w:val="0"/>
            <w:vAlign w:val="center"/>
          </w:tcPr>
          <w:p w14:paraId="47ABC5F4">
            <w:pPr>
              <w:ind w:left="-105" w:leftChars="-50" w:right="-105" w:rightChars="-50"/>
              <w:jc w:val="center"/>
              <w:rPr>
                <w:rFonts w:hint="eastAsia"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Cs w:val="21"/>
                <w:highlight w:val="none"/>
              </w:rPr>
              <w:t>标干流量</w:t>
            </w:r>
          </w:p>
        </w:tc>
        <w:tc>
          <w:tcPr>
            <w:tcW w:w="888" w:type="dxa"/>
            <w:noWrap w:val="0"/>
            <w:vAlign w:val="center"/>
          </w:tcPr>
          <w:p w14:paraId="071C3AA0">
            <w:pPr>
              <w:ind w:left="-105" w:leftChars="-50" w:right="-105" w:rightChars="-5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m</w:t>
            </w:r>
            <w:r>
              <w:rPr>
                <w:rFonts w:hint="default" w:ascii="Times New Roman" w:hAnsi="Times New Roman" w:eastAsia="宋体" w:cs="Times New Roman"/>
                <w:color w:val="auto"/>
                <w:kern w:val="0"/>
                <w:szCs w:val="21"/>
                <w:highlight w:val="none"/>
                <w:vertAlign w:val="superscript"/>
              </w:rPr>
              <w:t>3</w:t>
            </w:r>
            <w:r>
              <w:rPr>
                <w:rFonts w:hint="default" w:ascii="Times New Roman" w:hAnsi="Times New Roman" w:eastAsia="宋体" w:cs="Times New Roman"/>
                <w:color w:val="auto"/>
                <w:kern w:val="0"/>
                <w:szCs w:val="21"/>
                <w:highlight w:val="none"/>
              </w:rPr>
              <w:t>/h</w:t>
            </w:r>
          </w:p>
        </w:tc>
        <w:tc>
          <w:tcPr>
            <w:tcW w:w="912" w:type="dxa"/>
            <w:noWrap w:val="0"/>
            <w:vAlign w:val="center"/>
          </w:tcPr>
          <w:p w14:paraId="25403487">
            <w:pPr>
              <w:ind w:left="-105" w:leftChars="-50" w:right="-105" w:rightChars="-5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w:t>
            </w:r>
          </w:p>
        </w:tc>
        <w:tc>
          <w:tcPr>
            <w:tcW w:w="907" w:type="dxa"/>
            <w:noWrap w:val="0"/>
            <w:vAlign w:val="center"/>
          </w:tcPr>
          <w:p w14:paraId="0FD77B61">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20674</w:t>
            </w:r>
          </w:p>
        </w:tc>
        <w:tc>
          <w:tcPr>
            <w:tcW w:w="907" w:type="dxa"/>
            <w:noWrap w:val="0"/>
            <w:vAlign w:val="center"/>
          </w:tcPr>
          <w:p w14:paraId="42A4FD55">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20199</w:t>
            </w:r>
          </w:p>
        </w:tc>
        <w:tc>
          <w:tcPr>
            <w:tcW w:w="907" w:type="dxa"/>
            <w:noWrap w:val="0"/>
            <w:vAlign w:val="center"/>
          </w:tcPr>
          <w:p w14:paraId="7AFD38D0">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20478</w:t>
            </w:r>
          </w:p>
        </w:tc>
        <w:tc>
          <w:tcPr>
            <w:tcW w:w="907" w:type="dxa"/>
            <w:noWrap w:val="0"/>
            <w:vAlign w:val="center"/>
          </w:tcPr>
          <w:p w14:paraId="43F14181">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fldChar w:fldCharType="begin"/>
            </w:r>
            <w:r>
              <w:rPr>
                <w:rFonts w:hint="eastAsia" w:ascii="Times New Roman" w:hAnsi="Times New Roman" w:eastAsia="宋体" w:cs="Times New Roman"/>
                <w:color w:val="auto"/>
                <w:kern w:val="0"/>
                <w:sz w:val="21"/>
                <w:szCs w:val="21"/>
                <w:highlight w:val="none"/>
                <w:lang w:val="en-US" w:eastAsia="zh-CN" w:bidi="ar-SA"/>
              </w:rPr>
              <w:instrText xml:space="preserve"> = average(F3:H3) \* MERGEFORMAT </w:instrText>
            </w:r>
            <w:r>
              <w:rPr>
                <w:rFonts w:hint="eastAsia" w:ascii="Times New Roman" w:hAnsi="Times New Roman" w:eastAsia="宋体" w:cs="Times New Roman"/>
                <w:color w:val="auto"/>
                <w:kern w:val="0"/>
                <w:sz w:val="21"/>
                <w:szCs w:val="21"/>
                <w:highlight w:val="none"/>
                <w:lang w:val="en-US" w:eastAsia="zh-CN" w:bidi="ar-SA"/>
              </w:rPr>
              <w:fldChar w:fldCharType="separate"/>
            </w:r>
            <w:r>
              <w:rPr>
                <w:rFonts w:hint="eastAsia" w:ascii="Times New Roman" w:hAnsi="Times New Roman" w:eastAsia="宋体" w:cs="Times New Roman"/>
                <w:color w:val="auto"/>
                <w:kern w:val="0"/>
                <w:sz w:val="21"/>
                <w:szCs w:val="21"/>
                <w:highlight w:val="none"/>
                <w:lang w:val="en-US" w:eastAsia="zh-CN" w:bidi="ar-SA"/>
              </w:rPr>
              <w:t>20450</w:t>
            </w:r>
            <w:r>
              <w:rPr>
                <w:rFonts w:hint="eastAsia" w:ascii="Times New Roman" w:hAnsi="Times New Roman" w:eastAsia="宋体" w:cs="Times New Roman"/>
                <w:color w:val="auto"/>
                <w:kern w:val="0"/>
                <w:sz w:val="21"/>
                <w:szCs w:val="21"/>
                <w:highlight w:val="none"/>
                <w:lang w:val="en-US" w:eastAsia="zh-CN" w:bidi="ar-SA"/>
              </w:rPr>
              <w:fldChar w:fldCharType="end"/>
            </w:r>
          </w:p>
        </w:tc>
      </w:tr>
      <w:tr w14:paraId="48250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24" w:type="dxa"/>
            <w:vMerge w:val="continue"/>
            <w:noWrap w:val="0"/>
            <w:vAlign w:val="center"/>
          </w:tcPr>
          <w:p w14:paraId="20F0167F">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eastAsia" w:ascii="Times New Roman" w:hAnsi="Times New Roman" w:eastAsia="宋体" w:cs="Times New Roman"/>
                <w:color w:val="auto"/>
                <w:kern w:val="0"/>
                <w:sz w:val="21"/>
                <w:szCs w:val="21"/>
                <w:highlight w:val="none"/>
                <w:lang w:val="en-US" w:eastAsia="zh-CN" w:bidi="ar-SA"/>
              </w:rPr>
            </w:pPr>
          </w:p>
        </w:tc>
        <w:tc>
          <w:tcPr>
            <w:tcW w:w="1012" w:type="dxa"/>
            <w:vMerge w:val="continue"/>
            <w:noWrap w:val="0"/>
            <w:vAlign w:val="center"/>
          </w:tcPr>
          <w:p w14:paraId="0797500A">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eastAsia" w:ascii="Times New Roman" w:hAnsi="Times New Roman" w:eastAsia="宋体" w:cs="Times New Roman"/>
                <w:color w:val="auto"/>
                <w:kern w:val="0"/>
                <w:szCs w:val="21"/>
                <w:highlight w:val="none"/>
                <w:lang w:val="en-US" w:eastAsia="zh-CN"/>
              </w:rPr>
            </w:pPr>
          </w:p>
        </w:tc>
        <w:tc>
          <w:tcPr>
            <w:tcW w:w="1180" w:type="dxa"/>
            <w:noWrap w:val="0"/>
            <w:vAlign w:val="center"/>
          </w:tcPr>
          <w:p w14:paraId="694713CD">
            <w:pPr>
              <w:pStyle w:val="11"/>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Cs w:val="21"/>
                <w:highlight w:val="none"/>
                <w:lang w:val="en-US" w:eastAsia="zh-CN"/>
              </w:rPr>
              <w:t>颗粒物</w:t>
            </w:r>
            <w:r>
              <w:rPr>
                <w:rFonts w:hint="default" w:ascii="Times New Roman" w:hAnsi="Times New Roman" w:eastAsia="宋体" w:cs="Times New Roman"/>
                <w:color w:val="auto"/>
                <w:kern w:val="0"/>
                <w:szCs w:val="21"/>
                <w:highlight w:val="none"/>
              </w:rPr>
              <w:t>实测浓度</w:t>
            </w:r>
          </w:p>
        </w:tc>
        <w:tc>
          <w:tcPr>
            <w:tcW w:w="888" w:type="dxa"/>
            <w:noWrap w:val="0"/>
            <w:vAlign w:val="center"/>
          </w:tcPr>
          <w:p w14:paraId="2D9945A0">
            <w:pPr>
              <w:ind w:left="-105" w:leftChars="-50" w:right="-105" w:rightChars="-5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highlight w:val="none"/>
              </w:rPr>
              <w:t>mg/m</w:t>
            </w:r>
            <w:r>
              <w:rPr>
                <w:rFonts w:hint="default" w:ascii="Times New Roman" w:hAnsi="Times New Roman" w:eastAsia="宋体" w:cs="Times New Roman"/>
                <w:color w:val="auto"/>
                <w:highlight w:val="none"/>
                <w:vertAlign w:val="superscript"/>
              </w:rPr>
              <w:t>3</w:t>
            </w:r>
          </w:p>
        </w:tc>
        <w:tc>
          <w:tcPr>
            <w:tcW w:w="912" w:type="dxa"/>
            <w:noWrap w:val="0"/>
            <w:vAlign w:val="center"/>
          </w:tcPr>
          <w:p w14:paraId="4930B09D">
            <w:pPr>
              <w:ind w:left="-105" w:leftChars="-50" w:right="-105" w:rightChars="-50"/>
              <w:jc w:val="center"/>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lang w:val="en-US" w:eastAsia="zh-CN"/>
              </w:rPr>
              <w:t>密封完好</w:t>
            </w:r>
          </w:p>
        </w:tc>
        <w:tc>
          <w:tcPr>
            <w:tcW w:w="907" w:type="dxa"/>
            <w:noWrap w:val="0"/>
            <w:vAlign w:val="center"/>
          </w:tcPr>
          <w:p w14:paraId="6C7CE0F9">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2.7</w:t>
            </w:r>
          </w:p>
        </w:tc>
        <w:tc>
          <w:tcPr>
            <w:tcW w:w="907" w:type="dxa"/>
            <w:noWrap w:val="0"/>
            <w:vAlign w:val="center"/>
          </w:tcPr>
          <w:p w14:paraId="39D610F8">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2.0</w:t>
            </w:r>
          </w:p>
        </w:tc>
        <w:tc>
          <w:tcPr>
            <w:tcW w:w="907" w:type="dxa"/>
            <w:noWrap w:val="0"/>
            <w:vAlign w:val="center"/>
          </w:tcPr>
          <w:p w14:paraId="2B9D984B">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2.3</w:t>
            </w:r>
          </w:p>
        </w:tc>
        <w:tc>
          <w:tcPr>
            <w:tcW w:w="907" w:type="dxa"/>
            <w:noWrap w:val="0"/>
            <w:vAlign w:val="center"/>
          </w:tcPr>
          <w:p w14:paraId="6933D3BA">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2.3</w:t>
            </w:r>
          </w:p>
        </w:tc>
      </w:tr>
      <w:tr w14:paraId="14C04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24" w:type="dxa"/>
            <w:vMerge w:val="continue"/>
            <w:noWrap w:val="0"/>
            <w:vAlign w:val="center"/>
          </w:tcPr>
          <w:p w14:paraId="07E37204">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eastAsia" w:ascii="Times New Roman" w:hAnsi="Times New Roman" w:eastAsia="宋体" w:cs="Times New Roman"/>
                <w:color w:val="auto"/>
                <w:kern w:val="0"/>
                <w:sz w:val="21"/>
                <w:szCs w:val="21"/>
                <w:highlight w:val="none"/>
                <w:lang w:val="en-US" w:eastAsia="zh-CN" w:bidi="ar-SA"/>
              </w:rPr>
            </w:pPr>
          </w:p>
        </w:tc>
        <w:tc>
          <w:tcPr>
            <w:tcW w:w="1012" w:type="dxa"/>
            <w:vMerge w:val="continue"/>
            <w:noWrap w:val="0"/>
            <w:vAlign w:val="center"/>
          </w:tcPr>
          <w:p w14:paraId="19DE24FA">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eastAsia" w:ascii="Times New Roman" w:hAnsi="Times New Roman" w:eastAsia="宋体" w:cs="Times New Roman"/>
                <w:color w:val="auto"/>
                <w:kern w:val="0"/>
                <w:szCs w:val="21"/>
                <w:highlight w:val="none"/>
                <w:lang w:val="en-US" w:eastAsia="zh-CN"/>
              </w:rPr>
            </w:pPr>
          </w:p>
        </w:tc>
        <w:tc>
          <w:tcPr>
            <w:tcW w:w="1180" w:type="dxa"/>
            <w:noWrap w:val="0"/>
            <w:vAlign w:val="center"/>
          </w:tcPr>
          <w:p w14:paraId="797DAF5D">
            <w:pPr>
              <w:pStyle w:val="11"/>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颗粒物排放速率</w:t>
            </w:r>
          </w:p>
        </w:tc>
        <w:tc>
          <w:tcPr>
            <w:tcW w:w="888" w:type="dxa"/>
            <w:noWrap w:val="0"/>
            <w:vAlign w:val="center"/>
          </w:tcPr>
          <w:p w14:paraId="6887EA6D">
            <w:pPr>
              <w:ind w:left="-105" w:leftChars="-50" w:right="-105" w:rightChars="-50"/>
              <w:jc w:val="center"/>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highlight w:val="none"/>
                <w:lang w:val="en-US" w:eastAsia="zh-CN"/>
              </w:rPr>
              <w:t>kg/h</w:t>
            </w:r>
          </w:p>
        </w:tc>
        <w:tc>
          <w:tcPr>
            <w:tcW w:w="912" w:type="dxa"/>
            <w:noWrap w:val="0"/>
            <w:vAlign w:val="center"/>
          </w:tcPr>
          <w:p w14:paraId="1CD5B701">
            <w:pPr>
              <w:ind w:left="-105" w:leftChars="-50" w:right="-105" w:rightChars="-5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w:t>
            </w:r>
          </w:p>
        </w:tc>
        <w:tc>
          <w:tcPr>
            <w:tcW w:w="907" w:type="dxa"/>
            <w:noWrap w:val="0"/>
            <w:vAlign w:val="center"/>
          </w:tcPr>
          <w:p w14:paraId="3B6E4E99">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5.6</w:t>
            </w:r>
            <w:r>
              <w:rPr>
                <w:rFonts w:hint="default" w:ascii="Arial" w:hAnsi="Arial" w:eastAsia="宋体" w:cs="Arial"/>
                <w:color w:val="auto"/>
                <w:kern w:val="0"/>
                <w:sz w:val="21"/>
                <w:szCs w:val="21"/>
                <w:highlight w:val="none"/>
                <w:lang w:val="en-US" w:eastAsia="zh-CN" w:bidi="ar-SA"/>
              </w:rPr>
              <w:t>×</w:t>
            </w:r>
            <w:r>
              <w:rPr>
                <w:rFonts w:hint="eastAsia" w:ascii="Times New Roman" w:hAnsi="Times New Roman" w:eastAsia="宋体" w:cs="Times New Roman"/>
                <w:color w:val="auto"/>
                <w:kern w:val="0"/>
                <w:sz w:val="21"/>
                <w:szCs w:val="21"/>
                <w:highlight w:val="none"/>
                <w:lang w:val="en-US" w:eastAsia="zh-CN" w:bidi="ar-SA"/>
              </w:rPr>
              <w:t>10</w:t>
            </w:r>
            <w:r>
              <w:rPr>
                <w:rFonts w:hint="eastAsia" w:ascii="Times New Roman" w:hAnsi="Times New Roman" w:eastAsia="宋体" w:cs="Times New Roman"/>
                <w:color w:val="auto"/>
                <w:kern w:val="0"/>
                <w:sz w:val="21"/>
                <w:szCs w:val="21"/>
                <w:highlight w:val="none"/>
                <w:vertAlign w:val="superscript"/>
                <w:lang w:val="en-US" w:eastAsia="zh-CN" w:bidi="ar-SA"/>
              </w:rPr>
              <w:t>-2</w:t>
            </w:r>
          </w:p>
        </w:tc>
        <w:tc>
          <w:tcPr>
            <w:tcW w:w="907" w:type="dxa"/>
            <w:noWrap w:val="0"/>
            <w:vAlign w:val="center"/>
          </w:tcPr>
          <w:p w14:paraId="0AB92F2E">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4.0</w:t>
            </w:r>
            <w:r>
              <w:rPr>
                <w:rFonts w:hint="default" w:ascii="Arial" w:hAnsi="Arial" w:eastAsia="宋体" w:cs="Arial"/>
                <w:color w:val="auto"/>
                <w:kern w:val="0"/>
                <w:sz w:val="21"/>
                <w:szCs w:val="21"/>
                <w:highlight w:val="none"/>
                <w:lang w:val="en-US" w:eastAsia="zh-CN" w:bidi="ar-SA"/>
              </w:rPr>
              <w:t>×</w:t>
            </w:r>
            <w:r>
              <w:rPr>
                <w:rFonts w:hint="eastAsia" w:ascii="Times New Roman" w:hAnsi="Times New Roman" w:eastAsia="宋体" w:cs="Times New Roman"/>
                <w:color w:val="auto"/>
                <w:kern w:val="0"/>
                <w:sz w:val="21"/>
                <w:szCs w:val="21"/>
                <w:highlight w:val="none"/>
                <w:lang w:val="en-US" w:eastAsia="zh-CN" w:bidi="ar-SA"/>
              </w:rPr>
              <w:t>10</w:t>
            </w:r>
            <w:r>
              <w:rPr>
                <w:rFonts w:hint="eastAsia" w:ascii="Times New Roman" w:hAnsi="Times New Roman" w:eastAsia="宋体" w:cs="Times New Roman"/>
                <w:color w:val="auto"/>
                <w:kern w:val="0"/>
                <w:sz w:val="21"/>
                <w:szCs w:val="21"/>
                <w:highlight w:val="none"/>
                <w:vertAlign w:val="superscript"/>
                <w:lang w:val="en-US" w:eastAsia="zh-CN" w:bidi="ar-SA"/>
              </w:rPr>
              <w:t>-2</w:t>
            </w:r>
          </w:p>
        </w:tc>
        <w:tc>
          <w:tcPr>
            <w:tcW w:w="907" w:type="dxa"/>
            <w:noWrap w:val="0"/>
            <w:vAlign w:val="center"/>
          </w:tcPr>
          <w:p w14:paraId="66EF1D79">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4.7</w:t>
            </w:r>
            <w:r>
              <w:rPr>
                <w:rFonts w:hint="default" w:ascii="Arial" w:hAnsi="Arial" w:eastAsia="宋体" w:cs="Arial"/>
                <w:color w:val="auto"/>
                <w:kern w:val="0"/>
                <w:sz w:val="21"/>
                <w:szCs w:val="21"/>
                <w:highlight w:val="none"/>
                <w:lang w:val="en-US" w:eastAsia="zh-CN" w:bidi="ar-SA"/>
              </w:rPr>
              <w:t>×</w:t>
            </w:r>
            <w:r>
              <w:rPr>
                <w:rFonts w:hint="eastAsia" w:ascii="Times New Roman" w:hAnsi="Times New Roman" w:eastAsia="宋体" w:cs="Times New Roman"/>
                <w:color w:val="auto"/>
                <w:kern w:val="0"/>
                <w:sz w:val="21"/>
                <w:szCs w:val="21"/>
                <w:highlight w:val="none"/>
                <w:lang w:val="en-US" w:eastAsia="zh-CN" w:bidi="ar-SA"/>
              </w:rPr>
              <w:t>10</w:t>
            </w:r>
            <w:r>
              <w:rPr>
                <w:rFonts w:hint="eastAsia" w:ascii="Times New Roman" w:hAnsi="Times New Roman" w:eastAsia="宋体" w:cs="Times New Roman"/>
                <w:color w:val="auto"/>
                <w:kern w:val="0"/>
                <w:sz w:val="21"/>
                <w:szCs w:val="21"/>
                <w:highlight w:val="none"/>
                <w:vertAlign w:val="superscript"/>
                <w:lang w:val="en-US" w:eastAsia="zh-CN" w:bidi="ar-SA"/>
              </w:rPr>
              <w:t>-2</w:t>
            </w:r>
          </w:p>
        </w:tc>
        <w:tc>
          <w:tcPr>
            <w:tcW w:w="907" w:type="dxa"/>
            <w:noWrap w:val="0"/>
            <w:vAlign w:val="center"/>
          </w:tcPr>
          <w:p w14:paraId="53DF605D">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fldChar w:fldCharType="begin"/>
            </w:r>
            <w:r>
              <w:rPr>
                <w:rFonts w:hint="eastAsia" w:ascii="Times New Roman" w:hAnsi="Times New Roman" w:eastAsia="宋体" w:cs="Times New Roman"/>
                <w:color w:val="auto"/>
                <w:kern w:val="0"/>
                <w:sz w:val="21"/>
                <w:szCs w:val="21"/>
                <w:highlight w:val="none"/>
                <w:lang w:val="en-US" w:eastAsia="zh-CN" w:bidi="ar-SA"/>
              </w:rPr>
              <w:instrText xml:space="preserve"> = average(F5:H5) \* MERGEFORMAT </w:instrText>
            </w:r>
            <w:r>
              <w:rPr>
                <w:rFonts w:hint="eastAsia" w:ascii="Times New Roman" w:hAnsi="Times New Roman" w:eastAsia="宋体" w:cs="Times New Roman"/>
                <w:color w:val="auto"/>
                <w:kern w:val="0"/>
                <w:sz w:val="21"/>
                <w:szCs w:val="21"/>
                <w:highlight w:val="none"/>
                <w:lang w:val="en-US" w:eastAsia="zh-CN" w:bidi="ar-SA"/>
              </w:rPr>
              <w:fldChar w:fldCharType="separate"/>
            </w:r>
            <w:r>
              <w:rPr>
                <w:rFonts w:hint="eastAsia" w:ascii="Times New Roman" w:hAnsi="Times New Roman" w:eastAsia="宋体" w:cs="Times New Roman"/>
                <w:color w:val="auto"/>
                <w:kern w:val="0"/>
                <w:sz w:val="21"/>
                <w:szCs w:val="21"/>
                <w:highlight w:val="none"/>
                <w:lang w:val="en-US" w:eastAsia="zh-CN" w:bidi="ar-SA"/>
              </w:rPr>
              <w:t>4.8</w:t>
            </w:r>
            <w:r>
              <w:rPr>
                <w:rFonts w:hint="eastAsia" w:ascii="Times New Roman" w:hAnsi="Times New Roman" w:eastAsia="宋体" w:cs="Times New Roman"/>
                <w:color w:val="auto"/>
                <w:kern w:val="0"/>
                <w:sz w:val="21"/>
                <w:szCs w:val="21"/>
                <w:highlight w:val="none"/>
                <w:lang w:val="en-US" w:eastAsia="zh-CN" w:bidi="ar-SA"/>
              </w:rPr>
              <w:fldChar w:fldCharType="end"/>
            </w:r>
            <w:r>
              <w:rPr>
                <w:rFonts w:hint="default" w:ascii="Arial" w:hAnsi="Arial" w:eastAsia="宋体" w:cs="Arial"/>
                <w:color w:val="auto"/>
                <w:kern w:val="0"/>
                <w:sz w:val="21"/>
                <w:szCs w:val="21"/>
                <w:highlight w:val="none"/>
                <w:lang w:val="en-US" w:eastAsia="zh-CN" w:bidi="ar-SA"/>
              </w:rPr>
              <w:t>×</w:t>
            </w:r>
            <w:r>
              <w:rPr>
                <w:rFonts w:hint="eastAsia" w:ascii="Times New Roman" w:hAnsi="Times New Roman" w:eastAsia="宋体" w:cs="Times New Roman"/>
                <w:color w:val="auto"/>
                <w:kern w:val="0"/>
                <w:sz w:val="21"/>
                <w:szCs w:val="21"/>
                <w:highlight w:val="none"/>
                <w:lang w:val="en-US" w:eastAsia="zh-CN" w:bidi="ar-SA"/>
              </w:rPr>
              <w:t>10</w:t>
            </w:r>
            <w:r>
              <w:rPr>
                <w:rFonts w:hint="eastAsia" w:ascii="Times New Roman" w:hAnsi="Times New Roman" w:eastAsia="宋体" w:cs="Times New Roman"/>
                <w:color w:val="auto"/>
                <w:kern w:val="0"/>
                <w:sz w:val="21"/>
                <w:szCs w:val="21"/>
                <w:highlight w:val="none"/>
                <w:vertAlign w:val="superscript"/>
                <w:lang w:val="en-US" w:eastAsia="zh-CN" w:bidi="ar-SA"/>
              </w:rPr>
              <w:t>-2</w:t>
            </w:r>
          </w:p>
        </w:tc>
      </w:tr>
      <w:tr w14:paraId="7FFB0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24" w:type="dxa"/>
            <w:vMerge w:val="restart"/>
            <w:noWrap w:val="0"/>
            <w:vAlign w:val="center"/>
          </w:tcPr>
          <w:p w14:paraId="0EFF4171">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eastAsia"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阳极氧化废气排放口</w:t>
            </w:r>
            <w:r>
              <w:rPr>
                <w:rFonts w:hint="eastAsia" w:ascii="Times New Roman" w:hAnsi="Times New Roman" w:eastAsia="宋体" w:cs="Times New Roman"/>
                <w:color w:val="auto"/>
                <w:kern w:val="0"/>
                <w:sz w:val="21"/>
                <w:szCs w:val="21"/>
                <w:highlight w:val="none"/>
                <w:lang w:val="en-US" w:eastAsia="zh-CN" w:bidi="ar-SA"/>
              </w:rPr>
              <w:t>DA002</w:t>
            </w:r>
          </w:p>
        </w:tc>
        <w:tc>
          <w:tcPr>
            <w:tcW w:w="1012" w:type="dxa"/>
            <w:vMerge w:val="restart"/>
            <w:noWrap w:val="0"/>
            <w:vAlign w:val="center"/>
          </w:tcPr>
          <w:p w14:paraId="447ECE43">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bidi="ar-SA"/>
              </w:rPr>
              <w:t>2026.03.24</w:t>
            </w:r>
          </w:p>
        </w:tc>
        <w:tc>
          <w:tcPr>
            <w:tcW w:w="1180" w:type="dxa"/>
            <w:noWrap w:val="0"/>
            <w:vAlign w:val="center"/>
          </w:tcPr>
          <w:p w14:paraId="1BFE40D1">
            <w:pPr>
              <w:ind w:left="-105" w:leftChars="-50" w:right="-105" w:rightChars="-50"/>
              <w:jc w:val="center"/>
              <w:rPr>
                <w:rFonts w:hint="eastAsia"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Cs w:val="21"/>
                <w:highlight w:val="none"/>
              </w:rPr>
              <w:t>标干流量</w:t>
            </w:r>
          </w:p>
        </w:tc>
        <w:tc>
          <w:tcPr>
            <w:tcW w:w="888" w:type="dxa"/>
            <w:noWrap w:val="0"/>
            <w:vAlign w:val="center"/>
          </w:tcPr>
          <w:p w14:paraId="19E6CB00">
            <w:pPr>
              <w:ind w:left="-105" w:leftChars="-50" w:right="-105" w:rightChars="-5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m</w:t>
            </w:r>
            <w:r>
              <w:rPr>
                <w:rFonts w:hint="default" w:ascii="Times New Roman" w:hAnsi="Times New Roman" w:eastAsia="宋体" w:cs="Times New Roman"/>
                <w:color w:val="auto"/>
                <w:kern w:val="0"/>
                <w:szCs w:val="21"/>
                <w:highlight w:val="none"/>
                <w:vertAlign w:val="superscript"/>
              </w:rPr>
              <w:t>3</w:t>
            </w:r>
            <w:r>
              <w:rPr>
                <w:rFonts w:hint="default" w:ascii="Times New Roman" w:hAnsi="Times New Roman" w:eastAsia="宋体" w:cs="Times New Roman"/>
                <w:color w:val="auto"/>
                <w:kern w:val="0"/>
                <w:szCs w:val="21"/>
                <w:highlight w:val="none"/>
              </w:rPr>
              <w:t>/h</w:t>
            </w:r>
          </w:p>
        </w:tc>
        <w:tc>
          <w:tcPr>
            <w:tcW w:w="912" w:type="dxa"/>
            <w:noWrap w:val="0"/>
            <w:vAlign w:val="center"/>
          </w:tcPr>
          <w:p w14:paraId="3AF03364">
            <w:pPr>
              <w:ind w:left="-105" w:leftChars="-50" w:right="-105" w:rightChars="-5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w:t>
            </w:r>
          </w:p>
        </w:tc>
        <w:tc>
          <w:tcPr>
            <w:tcW w:w="907" w:type="dxa"/>
            <w:noWrap w:val="0"/>
            <w:vAlign w:val="center"/>
          </w:tcPr>
          <w:p w14:paraId="7CE3BFFC">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2985</w:t>
            </w:r>
          </w:p>
        </w:tc>
        <w:tc>
          <w:tcPr>
            <w:tcW w:w="907" w:type="dxa"/>
            <w:noWrap w:val="0"/>
            <w:vAlign w:val="center"/>
          </w:tcPr>
          <w:p w14:paraId="08B01C66">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2871</w:t>
            </w:r>
          </w:p>
        </w:tc>
        <w:tc>
          <w:tcPr>
            <w:tcW w:w="907" w:type="dxa"/>
            <w:noWrap w:val="0"/>
            <w:vAlign w:val="center"/>
          </w:tcPr>
          <w:p w14:paraId="3AF46349">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2906</w:t>
            </w:r>
          </w:p>
        </w:tc>
        <w:tc>
          <w:tcPr>
            <w:tcW w:w="907" w:type="dxa"/>
            <w:noWrap w:val="0"/>
            <w:vAlign w:val="center"/>
          </w:tcPr>
          <w:p w14:paraId="5A50C196">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fldChar w:fldCharType="begin"/>
            </w:r>
            <w:r>
              <w:rPr>
                <w:rFonts w:hint="eastAsia" w:ascii="Times New Roman" w:hAnsi="Times New Roman" w:eastAsia="宋体" w:cs="Times New Roman"/>
                <w:color w:val="auto"/>
                <w:kern w:val="0"/>
                <w:sz w:val="21"/>
                <w:szCs w:val="21"/>
                <w:highlight w:val="none"/>
                <w:lang w:val="en-US" w:eastAsia="zh-CN" w:bidi="ar-SA"/>
              </w:rPr>
              <w:instrText xml:space="preserve"> = average(F12:H12) \* MERGEFORMAT </w:instrText>
            </w:r>
            <w:r>
              <w:rPr>
                <w:rFonts w:hint="eastAsia" w:ascii="Times New Roman" w:hAnsi="Times New Roman" w:eastAsia="宋体" w:cs="Times New Roman"/>
                <w:color w:val="auto"/>
                <w:kern w:val="0"/>
                <w:sz w:val="21"/>
                <w:szCs w:val="21"/>
                <w:highlight w:val="none"/>
                <w:lang w:val="en-US" w:eastAsia="zh-CN" w:bidi="ar-SA"/>
              </w:rPr>
              <w:fldChar w:fldCharType="separate"/>
            </w:r>
            <w:r>
              <w:rPr>
                <w:rFonts w:hint="eastAsia" w:ascii="Times New Roman" w:hAnsi="Times New Roman" w:eastAsia="宋体" w:cs="Times New Roman"/>
                <w:color w:val="auto"/>
                <w:kern w:val="0"/>
                <w:sz w:val="21"/>
                <w:szCs w:val="21"/>
                <w:highlight w:val="none"/>
                <w:lang w:val="en-US" w:eastAsia="zh-CN" w:bidi="ar-SA"/>
              </w:rPr>
              <w:t>2921</w:t>
            </w:r>
            <w:r>
              <w:rPr>
                <w:rFonts w:hint="eastAsia" w:ascii="Times New Roman" w:hAnsi="Times New Roman" w:eastAsia="宋体" w:cs="Times New Roman"/>
                <w:color w:val="auto"/>
                <w:kern w:val="0"/>
                <w:sz w:val="21"/>
                <w:szCs w:val="21"/>
                <w:highlight w:val="none"/>
                <w:lang w:val="en-US" w:eastAsia="zh-CN" w:bidi="ar-SA"/>
              </w:rPr>
              <w:fldChar w:fldCharType="end"/>
            </w:r>
          </w:p>
        </w:tc>
      </w:tr>
      <w:tr w14:paraId="14200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24" w:type="dxa"/>
            <w:vMerge w:val="continue"/>
            <w:noWrap w:val="0"/>
            <w:vAlign w:val="center"/>
          </w:tcPr>
          <w:p w14:paraId="0A698842">
            <w:pPr>
              <w:ind w:left="-105" w:leftChars="-50" w:right="-105" w:rightChars="-50"/>
              <w:jc w:val="center"/>
              <w:rPr>
                <w:rFonts w:hint="eastAsia" w:ascii="Times New Roman" w:hAnsi="Times New Roman" w:eastAsia="宋体" w:cs="Times New Roman"/>
                <w:color w:val="auto"/>
                <w:kern w:val="0"/>
                <w:szCs w:val="21"/>
                <w:highlight w:val="none"/>
                <w:lang w:val="en-US" w:eastAsia="zh-CN"/>
              </w:rPr>
            </w:pPr>
          </w:p>
        </w:tc>
        <w:tc>
          <w:tcPr>
            <w:tcW w:w="1012" w:type="dxa"/>
            <w:vMerge w:val="continue"/>
            <w:noWrap w:val="0"/>
            <w:vAlign w:val="center"/>
          </w:tcPr>
          <w:p w14:paraId="724C099C">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eastAsia" w:ascii="Times New Roman" w:hAnsi="Times New Roman" w:eastAsia="宋体" w:cs="Times New Roman"/>
                <w:color w:val="auto"/>
                <w:kern w:val="0"/>
                <w:szCs w:val="21"/>
                <w:highlight w:val="none"/>
                <w:lang w:val="en-US" w:eastAsia="zh-CN"/>
              </w:rPr>
            </w:pPr>
          </w:p>
        </w:tc>
        <w:tc>
          <w:tcPr>
            <w:tcW w:w="1180" w:type="dxa"/>
            <w:noWrap w:val="0"/>
            <w:vAlign w:val="center"/>
          </w:tcPr>
          <w:p w14:paraId="1D01E261">
            <w:pPr>
              <w:pStyle w:val="11"/>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硫酸雾</w:t>
            </w:r>
            <w:r>
              <w:rPr>
                <w:rFonts w:hint="default" w:ascii="Times New Roman" w:hAnsi="Times New Roman" w:eastAsia="宋体" w:cs="Times New Roman"/>
                <w:color w:val="auto"/>
                <w:kern w:val="0"/>
                <w:sz w:val="21"/>
                <w:szCs w:val="21"/>
                <w:highlight w:val="none"/>
                <w:lang w:val="en-US" w:eastAsia="zh-CN" w:bidi="ar-SA"/>
              </w:rPr>
              <w:t>实测浓度</w:t>
            </w:r>
          </w:p>
        </w:tc>
        <w:tc>
          <w:tcPr>
            <w:tcW w:w="888" w:type="dxa"/>
            <w:noWrap w:val="0"/>
            <w:vAlign w:val="center"/>
          </w:tcPr>
          <w:p w14:paraId="211DA771">
            <w:pPr>
              <w:ind w:left="-105" w:leftChars="-50" w:right="-105" w:rightChars="-5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highlight w:val="none"/>
              </w:rPr>
              <w:t>mg/m</w:t>
            </w:r>
            <w:r>
              <w:rPr>
                <w:rFonts w:hint="default" w:ascii="Times New Roman" w:hAnsi="Times New Roman" w:eastAsia="宋体" w:cs="Times New Roman"/>
                <w:color w:val="auto"/>
                <w:highlight w:val="none"/>
                <w:vertAlign w:val="superscript"/>
              </w:rPr>
              <w:t>3</w:t>
            </w:r>
          </w:p>
        </w:tc>
        <w:tc>
          <w:tcPr>
            <w:tcW w:w="912" w:type="dxa"/>
            <w:noWrap w:val="0"/>
            <w:vAlign w:val="center"/>
          </w:tcPr>
          <w:p w14:paraId="10D853B5">
            <w:pPr>
              <w:ind w:left="-105" w:leftChars="-50" w:right="-105" w:rightChars="-5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密封完好</w:t>
            </w:r>
          </w:p>
          <w:p w14:paraId="74E7BD9B">
            <w:pPr>
              <w:ind w:left="-105" w:leftChars="-50" w:right="-105" w:rightChars="-50"/>
              <w:jc w:val="center"/>
              <w:rPr>
                <w:rFonts w:hint="default"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lang w:val="en-US" w:eastAsia="zh-CN"/>
              </w:rPr>
              <w:t>无漏液</w:t>
            </w:r>
          </w:p>
        </w:tc>
        <w:tc>
          <w:tcPr>
            <w:tcW w:w="907" w:type="dxa"/>
            <w:noWrap w:val="0"/>
            <w:vAlign w:val="center"/>
          </w:tcPr>
          <w:p w14:paraId="15B4649D">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1.83</w:t>
            </w:r>
          </w:p>
        </w:tc>
        <w:tc>
          <w:tcPr>
            <w:tcW w:w="907" w:type="dxa"/>
            <w:noWrap w:val="0"/>
            <w:vAlign w:val="center"/>
          </w:tcPr>
          <w:p w14:paraId="42E55B02">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2.12</w:t>
            </w:r>
          </w:p>
        </w:tc>
        <w:tc>
          <w:tcPr>
            <w:tcW w:w="907" w:type="dxa"/>
            <w:noWrap w:val="0"/>
            <w:vAlign w:val="center"/>
          </w:tcPr>
          <w:p w14:paraId="339621EF">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2.14</w:t>
            </w:r>
          </w:p>
        </w:tc>
        <w:tc>
          <w:tcPr>
            <w:tcW w:w="907" w:type="dxa"/>
            <w:noWrap w:val="0"/>
            <w:vAlign w:val="center"/>
          </w:tcPr>
          <w:p w14:paraId="352F3968">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fldChar w:fldCharType="begin"/>
            </w:r>
            <w:r>
              <w:rPr>
                <w:rFonts w:hint="eastAsia" w:ascii="Times New Roman" w:hAnsi="Times New Roman" w:eastAsia="宋体" w:cs="Times New Roman"/>
                <w:color w:val="auto"/>
                <w:kern w:val="0"/>
                <w:sz w:val="21"/>
                <w:szCs w:val="21"/>
                <w:highlight w:val="none"/>
                <w:lang w:val="en-US" w:eastAsia="zh-CN" w:bidi="ar-SA"/>
              </w:rPr>
              <w:instrText xml:space="preserve"> = average(F13:H13) \* MERGEFORMAT </w:instrText>
            </w:r>
            <w:r>
              <w:rPr>
                <w:rFonts w:hint="eastAsia" w:ascii="Times New Roman" w:hAnsi="Times New Roman" w:eastAsia="宋体" w:cs="Times New Roman"/>
                <w:color w:val="auto"/>
                <w:kern w:val="0"/>
                <w:sz w:val="21"/>
                <w:szCs w:val="21"/>
                <w:highlight w:val="none"/>
                <w:lang w:val="en-US" w:eastAsia="zh-CN" w:bidi="ar-SA"/>
              </w:rPr>
              <w:fldChar w:fldCharType="separate"/>
            </w:r>
            <w:r>
              <w:rPr>
                <w:rFonts w:hint="eastAsia" w:ascii="Times New Roman" w:hAnsi="Times New Roman" w:eastAsia="宋体" w:cs="Times New Roman"/>
                <w:color w:val="auto"/>
                <w:kern w:val="0"/>
                <w:sz w:val="21"/>
                <w:szCs w:val="21"/>
                <w:highlight w:val="none"/>
                <w:lang w:val="en-US" w:eastAsia="zh-CN" w:bidi="ar-SA"/>
              </w:rPr>
              <w:t>2.03</w:t>
            </w:r>
            <w:r>
              <w:rPr>
                <w:rFonts w:hint="eastAsia" w:ascii="Times New Roman" w:hAnsi="Times New Roman" w:eastAsia="宋体" w:cs="Times New Roman"/>
                <w:color w:val="auto"/>
                <w:kern w:val="0"/>
                <w:sz w:val="21"/>
                <w:szCs w:val="21"/>
                <w:highlight w:val="none"/>
                <w:lang w:val="en-US" w:eastAsia="zh-CN" w:bidi="ar-SA"/>
              </w:rPr>
              <w:fldChar w:fldCharType="end"/>
            </w:r>
          </w:p>
        </w:tc>
      </w:tr>
      <w:tr w14:paraId="2F108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24" w:type="dxa"/>
            <w:vMerge w:val="continue"/>
            <w:noWrap w:val="0"/>
            <w:vAlign w:val="center"/>
          </w:tcPr>
          <w:p w14:paraId="7FE06EF3">
            <w:pPr>
              <w:ind w:left="-105" w:leftChars="-50" w:right="-105" w:rightChars="-50"/>
              <w:jc w:val="center"/>
              <w:rPr>
                <w:rFonts w:hint="eastAsia" w:ascii="Times New Roman" w:hAnsi="Times New Roman" w:eastAsia="宋体" w:cs="Times New Roman"/>
                <w:color w:val="auto"/>
                <w:kern w:val="0"/>
                <w:szCs w:val="21"/>
                <w:highlight w:val="none"/>
                <w:lang w:val="en-US" w:eastAsia="zh-CN"/>
              </w:rPr>
            </w:pPr>
          </w:p>
        </w:tc>
        <w:tc>
          <w:tcPr>
            <w:tcW w:w="1012" w:type="dxa"/>
            <w:vMerge w:val="continue"/>
            <w:noWrap w:val="0"/>
            <w:vAlign w:val="center"/>
          </w:tcPr>
          <w:p w14:paraId="44A2C480">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eastAsia" w:ascii="Times New Roman" w:hAnsi="Times New Roman" w:eastAsia="宋体" w:cs="Times New Roman"/>
                <w:color w:val="auto"/>
                <w:kern w:val="0"/>
                <w:szCs w:val="21"/>
                <w:highlight w:val="none"/>
                <w:lang w:val="en-US" w:eastAsia="zh-CN"/>
              </w:rPr>
            </w:pPr>
          </w:p>
        </w:tc>
        <w:tc>
          <w:tcPr>
            <w:tcW w:w="1180" w:type="dxa"/>
            <w:noWrap w:val="0"/>
            <w:vAlign w:val="center"/>
          </w:tcPr>
          <w:p w14:paraId="770EDBE1">
            <w:pPr>
              <w:ind w:left="-105" w:leftChars="-50" w:right="-105" w:rightChars="-50"/>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硫酸雾</w:t>
            </w:r>
            <w:r>
              <w:rPr>
                <w:rFonts w:hint="default" w:ascii="Times New Roman" w:hAnsi="Times New Roman" w:eastAsia="宋体" w:cs="Times New Roman"/>
                <w:color w:val="auto"/>
                <w:kern w:val="0"/>
                <w:sz w:val="21"/>
                <w:szCs w:val="21"/>
                <w:highlight w:val="none"/>
                <w:lang w:val="en-US" w:eastAsia="zh-CN" w:bidi="ar-SA"/>
              </w:rPr>
              <w:t>排放速率</w:t>
            </w:r>
          </w:p>
        </w:tc>
        <w:tc>
          <w:tcPr>
            <w:tcW w:w="888" w:type="dxa"/>
            <w:noWrap w:val="0"/>
            <w:vAlign w:val="center"/>
          </w:tcPr>
          <w:p w14:paraId="7EA930D4">
            <w:pPr>
              <w:ind w:left="-105" w:leftChars="-50" w:right="-105" w:rightChars="-5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kg/h</w:t>
            </w:r>
          </w:p>
        </w:tc>
        <w:tc>
          <w:tcPr>
            <w:tcW w:w="912" w:type="dxa"/>
            <w:noWrap w:val="0"/>
            <w:vAlign w:val="center"/>
          </w:tcPr>
          <w:p w14:paraId="2C2B50A4">
            <w:pPr>
              <w:ind w:left="-105" w:leftChars="-50" w:right="-105" w:rightChars="-5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w:t>
            </w:r>
          </w:p>
        </w:tc>
        <w:tc>
          <w:tcPr>
            <w:tcW w:w="907" w:type="dxa"/>
            <w:noWrap w:val="0"/>
            <w:vAlign w:val="center"/>
          </w:tcPr>
          <w:p w14:paraId="10856BC6">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5.5</w:t>
            </w:r>
            <w:r>
              <w:rPr>
                <w:rFonts w:hint="default" w:ascii="Arial" w:hAnsi="Arial" w:eastAsia="宋体" w:cs="Arial"/>
                <w:color w:val="auto"/>
                <w:kern w:val="0"/>
                <w:sz w:val="21"/>
                <w:szCs w:val="21"/>
                <w:highlight w:val="none"/>
                <w:lang w:val="en-US" w:eastAsia="zh-CN" w:bidi="ar-SA"/>
              </w:rPr>
              <w:t>×</w:t>
            </w:r>
            <w:r>
              <w:rPr>
                <w:rFonts w:hint="eastAsia" w:ascii="Times New Roman" w:hAnsi="Times New Roman" w:eastAsia="宋体" w:cs="Times New Roman"/>
                <w:color w:val="auto"/>
                <w:kern w:val="0"/>
                <w:sz w:val="21"/>
                <w:szCs w:val="21"/>
                <w:highlight w:val="none"/>
                <w:lang w:val="en-US" w:eastAsia="zh-CN" w:bidi="ar-SA"/>
              </w:rPr>
              <w:t>10</w:t>
            </w:r>
            <w:r>
              <w:rPr>
                <w:rFonts w:hint="eastAsia" w:ascii="Times New Roman" w:hAnsi="Times New Roman" w:eastAsia="宋体" w:cs="Times New Roman"/>
                <w:color w:val="auto"/>
                <w:kern w:val="0"/>
                <w:sz w:val="21"/>
                <w:szCs w:val="21"/>
                <w:highlight w:val="none"/>
                <w:vertAlign w:val="superscript"/>
                <w:lang w:val="en-US" w:eastAsia="zh-CN" w:bidi="ar-SA"/>
              </w:rPr>
              <w:t>-3</w:t>
            </w:r>
          </w:p>
        </w:tc>
        <w:tc>
          <w:tcPr>
            <w:tcW w:w="907" w:type="dxa"/>
            <w:noWrap w:val="0"/>
            <w:vAlign w:val="center"/>
          </w:tcPr>
          <w:p w14:paraId="77428814">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6.1</w:t>
            </w:r>
            <w:r>
              <w:rPr>
                <w:rFonts w:hint="default" w:ascii="Arial" w:hAnsi="Arial" w:eastAsia="宋体" w:cs="Arial"/>
                <w:color w:val="auto"/>
                <w:kern w:val="0"/>
                <w:sz w:val="21"/>
                <w:szCs w:val="21"/>
                <w:highlight w:val="none"/>
                <w:lang w:val="en-US" w:eastAsia="zh-CN" w:bidi="ar-SA"/>
              </w:rPr>
              <w:t>×</w:t>
            </w:r>
            <w:r>
              <w:rPr>
                <w:rFonts w:hint="eastAsia" w:ascii="Times New Roman" w:hAnsi="Times New Roman" w:eastAsia="宋体" w:cs="Times New Roman"/>
                <w:color w:val="auto"/>
                <w:kern w:val="0"/>
                <w:sz w:val="21"/>
                <w:szCs w:val="21"/>
                <w:highlight w:val="none"/>
                <w:lang w:val="en-US" w:eastAsia="zh-CN" w:bidi="ar-SA"/>
              </w:rPr>
              <w:t>10</w:t>
            </w:r>
            <w:r>
              <w:rPr>
                <w:rFonts w:hint="eastAsia" w:ascii="Times New Roman" w:hAnsi="Times New Roman" w:eastAsia="宋体" w:cs="Times New Roman"/>
                <w:color w:val="auto"/>
                <w:kern w:val="0"/>
                <w:sz w:val="21"/>
                <w:szCs w:val="21"/>
                <w:highlight w:val="none"/>
                <w:vertAlign w:val="superscript"/>
                <w:lang w:val="en-US" w:eastAsia="zh-CN" w:bidi="ar-SA"/>
              </w:rPr>
              <w:t>-3</w:t>
            </w:r>
          </w:p>
        </w:tc>
        <w:tc>
          <w:tcPr>
            <w:tcW w:w="907" w:type="dxa"/>
            <w:noWrap w:val="0"/>
            <w:vAlign w:val="center"/>
          </w:tcPr>
          <w:p w14:paraId="63BDFB2D">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6.2</w:t>
            </w:r>
            <w:r>
              <w:rPr>
                <w:rFonts w:hint="default" w:ascii="Arial" w:hAnsi="Arial" w:eastAsia="宋体" w:cs="Arial"/>
                <w:color w:val="auto"/>
                <w:kern w:val="0"/>
                <w:sz w:val="21"/>
                <w:szCs w:val="21"/>
                <w:highlight w:val="none"/>
                <w:lang w:val="en-US" w:eastAsia="zh-CN" w:bidi="ar-SA"/>
              </w:rPr>
              <w:t>×</w:t>
            </w:r>
            <w:r>
              <w:rPr>
                <w:rFonts w:hint="eastAsia" w:ascii="Times New Roman" w:hAnsi="Times New Roman" w:eastAsia="宋体" w:cs="Times New Roman"/>
                <w:color w:val="auto"/>
                <w:kern w:val="0"/>
                <w:sz w:val="21"/>
                <w:szCs w:val="21"/>
                <w:highlight w:val="none"/>
                <w:lang w:val="en-US" w:eastAsia="zh-CN" w:bidi="ar-SA"/>
              </w:rPr>
              <w:t>10</w:t>
            </w:r>
            <w:r>
              <w:rPr>
                <w:rFonts w:hint="eastAsia" w:ascii="Times New Roman" w:hAnsi="Times New Roman" w:eastAsia="宋体" w:cs="Times New Roman"/>
                <w:color w:val="auto"/>
                <w:kern w:val="0"/>
                <w:sz w:val="21"/>
                <w:szCs w:val="21"/>
                <w:highlight w:val="none"/>
                <w:vertAlign w:val="superscript"/>
                <w:lang w:val="en-US" w:eastAsia="zh-CN" w:bidi="ar-SA"/>
              </w:rPr>
              <w:t>-3</w:t>
            </w:r>
          </w:p>
        </w:tc>
        <w:tc>
          <w:tcPr>
            <w:tcW w:w="907" w:type="dxa"/>
            <w:noWrap w:val="0"/>
            <w:vAlign w:val="center"/>
          </w:tcPr>
          <w:p w14:paraId="2206D421">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outlineLvl w:val="9"/>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fldChar w:fldCharType="begin"/>
            </w:r>
            <w:r>
              <w:rPr>
                <w:rFonts w:hint="eastAsia" w:ascii="Times New Roman" w:hAnsi="Times New Roman" w:eastAsia="宋体" w:cs="Times New Roman"/>
                <w:color w:val="auto"/>
                <w:kern w:val="0"/>
                <w:sz w:val="21"/>
                <w:szCs w:val="21"/>
                <w:highlight w:val="none"/>
                <w:lang w:val="en-US" w:eastAsia="zh-CN" w:bidi="ar-SA"/>
              </w:rPr>
              <w:instrText xml:space="preserve"> = average(F14:H14) \* MERGEFORMAT </w:instrText>
            </w:r>
            <w:r>
              <w:rPr>
                <w:rFonts w:hint="eastAsia" w:ascii="Times New Roman" w:hAnsi="Times New Roman" w:eastAsia="宋体" w:cs="Times New Roman"/>
                <w:color w:val="auto"/>
                <w:kern w:val="0"/>
                <w:sz w:val="21"/>
                <w:szCs w:val="21"/>
                <w:highlight w:val="none"/>
                <w:lang w:val="en-US" w:eastAsia="zh-CN" w:bidi="ar-SA"/>
              </w:rPr>
              <w:fldChar w:fldCharType="separate"/>
            </w:r>
            <w:r>
              <w:rPr>
                <w:rFonts w:hint="eastAsia" w:ascii="Times New Roman" w:hAnsi="Times New Roman" w:eastAsia="宋体" w:cs="Times New Roman"/>
                <w:color w:val="auto"/>
                <w:kern w:val="0"/>
                <w:sz w:val="21"/>
                <w:szCs w:val="21"/>
                <w:highlight w:val="none"/>
                <w:lang w:val="en-US" w:eastAsia="zh-CN" w:bidi="ar-SA"/>
              </w:rPr>
              <w:t>5.9</w:t>
            </w:r>
            <w:r>
              <w:rPr>
                <w:rFonts w:hint="default" w:ascii="Arial" w:hAnsi="Arial" w:eastAsia="宋体" w:cs="Arial"/>
                <w:color w:val="auto"/>
                <w:kern w:val="0"/>
                <w:sz w:val="21"/>
                <w:szCs w:val="21"/>
                <w:highlight w:val="none"/>
                <w:lang w:val="en-US" w:eastAsia="zh-CN" w:bidi="ar-SA"/>
              </w:rPr>
              <w:t>×</w:t>
            </w:r>
            <w:r>
              <w:rPr>
                <w:rFonts w:hint="eastAsia" w:ascii="Times New Roman" w:hAnsi="Times New Roman" w:eastAsia="宋体" w:cs="Times New Roman"/>
                <w:color w:val="auto"/>
                <w:kern w:val="0"/>
                <w:sz w:val="21"/>
                <w:szCs w:val="21"/>
                <w:highlight w:val="none"/>
                <w:lang w:val="en-US" w:eastAsia="zh-CN" w:bidi="ar-SA"/>
              </w:rPr>
              <w:t>10</w:t>
            </w:r>
            <w:r>
              <w:rPr>
                <w:rFonts w:hint="eastAsia" w:ascii="Times New Roman" w:hAnsi="Times New Roman" w:eastAsia="宋体" w:cs="Times New Roman"/>
                <w:color w:val="auto"/>
                <w:kern w:val="0"/>
                <w:sz w:val="21"/>
                <w:szCs w:val="21"/>
                <w:highlight w:val="none"/>
                <w:vertAlign w:val="superscript"/>
                <w:lang w:val="en-US" w:eastAsia="zh-CN" w:bidi="ar-SA"/>
              </w:rPr>
              <w:t>-3</w:t>
            </w:r>
            <w:r>
              <w:rPr>
                <w:rFonts w:hint="eastAsia" w:ascii="Times New Roman" w:hAnsi="Times New Roman" w:eastAsia="宋体" w:cs="Times New Roman"/>
                <w:color w:val="auto"/>
                <w:kern w:val="0"/>
                <w:sz w:val="21"/>
                <w:szCs w:val="21"/>
                <w:highlight w:val="none"/>
                <w:lang w:val="en-US" w:eastAsia="zh-CN" w:bidi="ar-SA"/>
              </w:rPr>
              <w:fldChar w:fldCharType="end"/>
            </w:r>
          </w:p>
        </w:tc>
      </w:tr>
      <w:tr w14:paraId="32394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744" w:type="dxa"/>
            <w:gridSpan w:val="9"/>
            <w:noWrap w:val="0"/>
            <w:vAlign w:val="center"/>
          </w:tcPr>
          <w:p w14:paraId="56DF075D">
            <w:pPr>
              <w:pStyle w:val="11"/>
              <w:rPr>
                <w:rFonts w:hint="eastAsia" w:ascii="Times New Roman" w:hAnsi="Times New Roman" w:eastAsia="宋体" w:cs="Times New Roman"/>
                <w:color w:val="auto"/>
                <w:kern w:val="0"/>
                <w:sz w:val="21"/>
                <w:szCs w:val="21"/>
                <w:highlight w:val="none"/>
                <w:lang w:val="en-US" w:eastAsia="zh-CN" w:bidi="ar-SA"/>
              </w:rPr>
            </w:pPr>
            <w:r>
              <w:rPr>
                <w:rFonts w:hint="eastAsia"/>
                <w:color w:val="auto"/>
                <w:highlight w:val="none"/>
                <w:lang w:val="en-US" w:eastAsia="zh-CN"/>
              </w:rPr>
              <w:t>备注：</w:t>
            </w:r>
            <w:r>
              <w:rPr>
                <w:rFonts w:hint="default" w:ascii="Times New Roman" w:hAnsi="Times New Roman" w:eastAsia="宋体" w:cs="Times New Roman"/>
                <w:color w:val="auto"/>
                <w:kern w:val="0"/>
                <w:szCs w:val="21"/>
                <w:highlight w:val="none"/>
                <w:lang w:val="en-US" w:eastAsia="zh-CN"/>
              </w:rPr>
              <w:t>以上数据仅对本次检测负责。</w:t>
            </w:r>
          </w:p>
        </w:tc>
      </w:tr>
    </w:tbl>
    <w:p w14:paraId="6668001F">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Times New Roman" w:hAnsi="Times New Roman" w:eastAsia="宋体" w:cs="Times New Roman"/>
          <w:highlight w:val="none"/>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表9-</w:t>
      </w:r>
      <w:r>
        <w:rPr>
          <w:rFonts w:hint="eastAsia" w:ascii="Times New Roman" w:hAnsi="Times New Roman" w:eastAsia="宋体" w:cs="Times New Roman"/>
          <w:b/>
          <w:color w:val="000000" w:themeColor="text1"/>
          <w:sz w:val="24"/>
          <w:szCs w:val="24"/>
          <w:highlight w:val="none"/>
          <w:lang w:val="en-US" w:eastAsia="zh-CN"/>
          <w14:textFill>
            <w14:solidFill>
              <w14:schemeClr w14:val="tx1"/>
            </w14:solidFill>
          </w14:textFill>
        </w:rPr>
        <w:t xml:space="preserve">3  </w:t>
      </w:r>
      <w:r>
        <w:rPr>
          <w:rFonts w:hint="default" w:ascii="Times New Roman" w:hAnsi="Times New Roman" w:eastAsia="宋体" w:cs="Times New Roman"/>
          <w:b/>
          <w:color w:val="000000" w:themeColor="text1"/>
          <w:sz w:val="24"/>
          <w:szCs w:val="24"/>
          <w:highlight w:val="none"/>
          <w14:textFill>
            <w14:solidFill>
              <w14:schemeClr w14:val="tx1"/>
            </w14:solidFill>
          </w14:textFill>
        </w:rPr>
        <w:t>项目</w:t>
      </w:r>
      <w:r>
        <w:rPr>
          <w:rFonts w:hint="eastAsia" w:ascii="Times New Roman" w:hAnsi="Times New Roman" w:eastAsia="宋体" w:cs="Times New Roman"/>
          <w:b/>
          <w:color w:val="000000" w:themeColor="text1"/>
          <w:sz w:val="24"/>
          <w:szCs w:val="24"/>
          <w:highlight w:val="none"/>
          <w:lang w:val="en-US" w:eastAsia="zh-CN"/>
          <w14:textFill>
            <w14:solidFill>
              <w14:schemeClr w14:val="tx1"/>
            </w14:solidFill>
          </w14:textFill>
        </w:rPr>
        <w:t>无</w:t>
      </w:r>
      <w:r>
        <w:rPr>
          <w:rFonts w:hint="default" w:ascii="Times New Roman" w:hAnsi="Times New Roman" w:eastAsia="宋体" w:cs="Times New Roman"/>
          <w:b/>
          <w:color w:val="000000" w:themeColor="text1"/>
          <w:sz w:val="24"/>
          <w:szCs w:val="24"/>
          <w:highlight w:val="none"/>
          <w14:textFill>
            <w14:solidFill>
              <w14:schemeClr w14:val="tx1"/>
            </w14:solidFill>
          </w14:textFill>
        </w:rPr>
        <w:t>组织废气</w:t>
      </w:r>
      <w:r>
        <w:rPr>
          <w:rFonts w:hint="eastAsia" w:ascii="Times New Roman" w:hAnsi="Times New Roman" w:eastAsia="宋体" w:cs="Times New Roman"/>
          <w:b/>
          <w:color w:val="000000" w:themeColor="text1"/>
          <w:sz w:val="24"/>
          <w:szCs w:val="24"/>
          <w:highlight w:val="none"/>
          <w:lang w:val="en-US" w:eastAsia="zh-CN"/>
          <w14:textFill>
            <w14:solidFill>
              <w14:schemeClr w14:val="tx1"/>
            </w14:solidFill>
          </w14:textFill>
        </w:rPr>
        <w:t>检测</w:t>
      </w:r>
      <w:r>
        <w:rPr>
          <w:rFonts w:hint="default" w:ascii="Times New Roman" w:hAnsi="Times New Roman" w:eastAsia="宋体" w:cs="Times New Roman"/>
          <w:b/>
          <w:color w:val="000000" w:themeColor="text1"/>
          <w:sz w:val="24"/>
          <w:szCs w:val="24"/>
          <w:highlight w:val="none"/>
          <w14:textFill>
            <w14:solidFill>
              <w14:schemeClr w14:val="tx1"/>
            </w14:solidFill>
          </w14:textFill>
        </w:rPr>
        <w:t>结果一览表</w:t>
      </w:r>
      <w:r>
        <w:rPr>
          <w:rFonts w:hint="default" w:ascii="Times New Roman" w:hAnsi="Times New Roman" w:eastAsia="宋体" w:cs="Times New Roman"/>
          <w:bCs/>
          <w:kern w:val="0"/>
          <w:sz w:val="24"/>
          <w:highlight w:val="none"/>
        </w:rPr>
        <w:t xml:space="preserve">                </w:t>
      </w:r>
    </w:p>
    <w:tbl>
      <w:tblPr>
        <w:tblStyle w:val="32"/>
        <w:tblW w:w="87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9"/>
        <w:gridCol w:w="1122"/>
        <w:gridCol w:w="1633"/>
        <w:gridCol w:w="1131"/>
        <w:gridCol w:w="737"/>
        <w:gridCol w:w="737"/>
        <w:gridCol w:w="737"/>
        <w:gridCol w:w="737"/>
        <w:gridCol w:w="908"/>
      </w:tblGrid>
      <w:tr w14:paraId="6960C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9" w:type="dxa"/>
            <w:vMerge w:val="restart"/>
            <w:noWrap w:val="0"/>
            <w:vAlign w:val="center"/>
          </w:tcPr>
          <w:p w14:paraId="01B34940">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default" w:ascii="宋体" w:hAnsi="宋体" w:eastAsia="宋体" w:cs="宋体"/>
                <w:kern w:val="0"/>
                <w:szCs w:val="21"/>
                <w:highlight w:val="none"/>
                <w:lang w:val="en-US" w:eastAsia="zh-CN"/>
              </w:rPr>
            </w:pPr>
            <w:r>
              <w:rPr>
                <w:rFonts w:hint="default" w:ascii="宋体" w:hAnsi="宋体" w:eastAsia="宋体" w:cs="宋体"/>
                <w:kern w:val="0"/>
                <w:szCs w:val="21"/>
                <w:highlight w:val="none"/>
                <w:lang w:val="en-US" w:eastAsia="zh-CN"/>
              </w:rPr>
              <w:t>检测项目</w:t>
            </w:r>
          </w:p>
        </w:tc>
        <w:tc>
          <w:tcPr>
            <w:tcW w:w="1122" w:type="dxa"/>
            <w:vMerge w:val="restart"/>
            <w:noWrap w:val="0"/>
            <w:vAlign w:val="center"/>
          </w:tcPr>
          <w:p w14:paraId="4DEE160F">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采样日期</w:t>
            </w:r>
          </w:p>
        </w:tc>
        <w:tc>
          <w:tcPr>
            <w:tcW w:w="1633" w:type="dxa"/>
            <w:vMerge w:val="restart"/>
            <w:noWrap w:val="0"/>
            <w:vAlign w:val="center"/>
          </w:tcPr>
          <w:p w14:paraId="54BD52C1">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检测点位</w:t>
            </w:r>
          </w:p>
        </w:tc>
        <w:tc>
          <w:tcPr>
            <w:tcW w:w="1131" w:type="dxa"/>
            <w:vMerge w:val="restart"/>
            <w:noWrap w:val="0"/>
            <w:vAlign w:val="center"/>
          </w:tcPr>
          <w:p w14:paraId="60BBF137">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样品状态</w:t>
            </w:r>
          </w:p>
        </w:tc>
        <w:tc>
          <w:tcPr>
            <w:tcW w:w="3856" w:type="dxa"/>
            <w:gridSpan w:val="5"/>
            <w:noWrap w:val="0"/>
            <w:vAlign w:val="center"/>
          </w:tcPr>
          <w:p w14:paraId="26BB4741">
            <w:pPr>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检测结果</w:t>
            </w:r>
          </w:p>
        </w:tc>
      </w:tr>
      <w:tr w14:paraId="40CF6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9" w:type="dxa"/>
            <w:vMerge w:val="continue"/>
            <w:noWrap w:val="0"/>
            <w:vAlign w:val="center"/>
          </w:tcPr>
          <w:p w14:paraId="0511A01A">
            <w:pPr>
              <w:jc w:val="center"/>
              <w:rPr>
                <w:rFonts w:hint="default" w:ascii="Times New Roman" w:hAnsi="Times New Roman" w:eastAsia="宋体" w:cs="Times New Roman"/>
                <w:kern w:val="0"/>
                <w:szCs w:val="21"/>
                <w:highlight w:val="none"/>
              </w:rPr>
            </w:pPr>
          </w:p>
        </w:tc>
        <w:tc>
          <w:tcPr>
            <w:tcW w:w="1122" w:type="dxa"/>
            <w:vMerge w:val="continue"/>
            <w:noWrap w:val="0"/>
            <w:vAlign w:val="center"/>
          </w:tcPr>
          <w:p w14:paraId="36E80F6E">
            <w:pPr>
              <w:jc w:val="center"/>
              <w:rPr>
                <w:rFonts w:hint="default" w:ascii="Times New Roman" w:hAnsi="Times New Roman" w:eastAsia="宋体" w:cs="Times New Roman"/>
                <w:color w:val="auto"/>
                <w:kern w:val="0"/>
                <w:szCs w:val="21"/>
                <w:highlight w:val="none"/>
              </w:rPr>
            </w:pPr>
          </w:p>
        </w:tc>
        <w:tc>
          <w:tcPr>
            <w:tcW w:w="1633" w:type="dxa"/>
            <w:vMerge w:val="continue"/>
            <w:noWrap w:val="0"/>
            <w:vAlign w:val="center"/>
          </w:tcPr>
          <w:p w14:paraId="3B00E1DC">
            <w:pPr>
              <w:jc w:val="center"/>
              <w:rPr>
                <w:rFonts w:hint="default" w:ascii="Times New Roman" w:hAnsi="Times New Roman" w:eastAsia="宋体" w:cs="Times New Roman"/>
                <w:color w:val="auto"/>
                <w:kern w:val="0"/>
                <w:szCs w:val="21"/>
                <w:highlight w:val="none"/>
              </w:rPr>
            </w:pPr>
          </w:p>
        </w:tc>
        <w:tc>
          <w:tcPr>
            <w:tcW w:w="1131" w:type="dxa"/>
            <w:vMerge w:val="continue"/>
            <w:noWrap w:val="0"/>
            <w:vAlign w:val="center"/>
          </w:tcPr>
          <w:p w14:paraId="0A9AFAF3">
            <w:pPr>
              <w:jc w:val="center"/>
              <w:rPr>
                <w:rFonts w:hint="default" w:ascii="Times New Roman" w:hAnsi="Times New Roman" w:eastAsia="宋体" w:cs="Times New Roman"/>
                <w:color w:val="auto"/>
                <w:kern w:val="0"/>
                <w:szCs w:val="21"/>
                <w:highlight w:val="none"/>
              </w:rPr>
            </w:pPr>
          </w:p>
        </w:tc>
        <w:tc>
          <w:tcPr>
            <w:tcW w:w="737" w:type="dxa"/>
            <w:noWrap w:val="0"/>
            <w:vAlign w:val="center"/>
          </w:tcPr>
          <w:p w14:paraId="06A4A42A">
            <w:pPr>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1</w:t>
            </w:r>
          </w:p>
        </w:tc>
        <w:tc>
          <w:tcPr>
            <w:tcW w:w="737" w:type="dxa"/>
            <w:noWrap w:val="0"/>
            <w:vAlign w:val="center"/>
          </w:tcPr>
          <w:p w14:paraId="1581C21C">
            <w:pPr>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2</w:t>
            </w:r>
          </w:p>
        </w:tc>
        <w:tc>
          <w:tcPr>
            <w:tcW w:w="737" w:type="dxa"/>
            <w:noWrap w:val="0"/>
            <w:vAlign w:val="center"/>
          </w:tcPr>
          <w:p w14:paraId="232A37EB">
            <w:pPr>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3</w:t>
            </w:r>
          </w:p>
        </w:tc>
        <w:tc>
          <w:tcPr>
            <w:tcW w:w="737" w:type="dxa"/>
            <w:noWrap w:val="0"/>
            <w:vAlign w:val="center"/>
          </w:tcPr>
          <w:p w14:paraId="2A1021E8">
            <w:pPr>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4</w:t>
            </w:r>
          </w:p>
        </w:tc>
        <w:tc>
          <w:tcPr>
            <w:tcW w:w="908" w:type="dxa"/>
            <w:noWrap w:val="0"/>
            <w:vAlign w:val="center"/>
          </w:tcPr>
          <w:p w14:paraId="1B7EAFF4">
            <w:pPr>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最大值</w:t>
            </w:r>
          </w:p>
        </w:tc>
      </w:tr>
      <w:tr w14:paraId="780A0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9" w:type="dxa"/>
            <w:vMerge w:val="restart"/>
            <w:noWrap w:val="0"/>
            <w:vAlign w:val="center"/>
          </w:tcPr>
          <w:p w14:paraId="2BA560B7">
            <w:pPr>
              <w:pStyle w:val="11"/>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总悬浮</w:t>
            </w:r>
          </w:p>
          <w:p w14:paraId="52D048BB">
            <w:pPr>
              <w:pStyle w:val="11"/>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eastAsia" w:ascii="Times New Roman" w:hAnsi="Times New Roman" w:eastAsia="宋体" w:cs="Times New Roman"/>
                <w:kern w:val="0"/>
                <w:szCs w:val="21"/>
                <w:highlight w:val="none"/>
              </w:rPr>
            </w:pPr>
            <w:r>
              <w:rPr>
                <w:rFonts w:hint="eastAsia" w:ascii="宋体" w:hAnsi="宋体" w:eastAsia="宋体" w:cs="宋体"/>
                <w:kern w:val="0"/>
                <w:szCs w:val="21"/>
                <w:highlight w:val="none"/>
                <w:lang w:val="en-US" w:eastAsia="zh-CN"/>
              </w:rPr>
              <w:t>颗粒</w:t>
            </w:r>
            <w:r>
              <w:rPr>
                <w:rFonts w:hint="eastAsia"/>
                <w:highlight w:val="none"/>
                <w:lang w:val="en-US" w:eastAsia="zh-CN"/>
              </w:rPr>
              <w:t>物</w:t>
            </w:r>
            <w:r>
              <w:rPr>
                <w:rFonts w:hint="eastAsia"/>
                <w:highlight w:val="none"/>
                <w:lang w:eastAsia="zh-CN"/>
              </w:rPr>
              <w:t>（</w:t>
            </w:r>
            <w:r>
              <w:rPr>
                <w:rFonts w:hint="default" w:ascii="Times New Roman" w:hAnsi="Times New Roman" w:cs="Times New Roman"/>
                <w:highlight w:val="none"/>
                <w:lang w:val="en-US" w:eastAsia="zh-CN"/>
              </w:rPr>
              <w:t>μg/</w:t>
            </w:r>
            <w:r>
              <w:rPr>
                <w:rFonts w:hint="eastAsia"/>
                <w:highlight w:val="none"/>
                <w:lang w:val="en-US" w:eastAsia="zh-CN"/>
              </w:rPr>
              <w:t>m</w:t>
            </w:r>
            <w:r>
              <w:rPr>
                <w:rFonts w:hint="eastAsia"/>
                <w:highlight w:val="none"/>
                <w:vertAlign w:val="superscript"/>
                <w:lang w:val="en-US" w:eastAsia="zh-CN"/>
              </w:rPr>
              <w:t>3</w:t>
            </w:r>
            <w:r>
              <w:rPr>
                <w:rFonts w:hint="eastAsia"/>
                <w:highlight w:val="none"/>
                <w:lang w:eastAsia="zh-CN"/>
              </w:rPr>
              <w:t>）</w:t>
            </w:r>
          </w:p>
        </w:tc>
        <w:tc>
          <w:tcPr>
            <w:tcW w:w="1122" w:type="dxa"/>
            <w:vMerge w:val="restart"/>
            <w:noWrap w:val="0"/>
            <w:vAlign w:val="center"/>
          </w:tcPr>
          <w:p w14:paraId="04DCEF23">
            <w:pPr>
              <w:ind w:left="-105" w:leftChars="-50" w:right="-105" w:rightChars="-50"/>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2026.03.23</w:t>
            </w:r>
          </w:p>
        </w:tc>
        <w:tc>
          <w:tcPr>
            <w:tcW w:w="1633" w:type="dxa"/>
            <w:noWrap w:val="0"/>
            <w:vAlign w:val="center"/>
          </w:tcPr>
          <w:p w14:paraId="15F08158">
            <w:pPr>
              <w:ind w:left="-105" w:leftChars="-50" w:right="-105" w:rightChars="-5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厂界</w:t>
            </w:r>
            <w:r>
              <w:rPr>
                <w:rFonts w:hint="default" w:ascii="Times New Roman" w:hAnsi="Times New Roman" w:eastAsia="宋体" w:cs="Times New Roman"/>
                <w:color w:val="auto"/>
                <w:kern w:val="0"/>
                <w:szCs w:val="21"/>
                <w:highlight w:val="none"/>
              </w:rPr>
              <w:t>上风向1</w:t>
            </w:r>
            <w:r>
              <w:rPr>
                <w:rFonts w:hint="default" w:ascii="Times New Roman" w:hAnsi="Times New Roman" w:eastAsia="宋体" w:cs="Times New Roman"/>
                <w:color w:val="auto"/>
                <w:kern w:val="0"/>
                <w:szCs w:val="21"/>
                <w:highlight w:val="none"/>
                <w:vertAlign w:val="superscript"/>
              </w:rPr>
              <w:t>#</w:t>
            </w:r>
          </w:p>
        </w:tc>
        <w:tc>
          <w:tcPr>
            <w:tcW w:w="1131" w:type="dxa"/>
            <w:noWrap w:val="0"/>
            <w:vAlign w:val="center"/>
          </w:tcPr>
          <w:p w14:paraId="39C59223">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完好无破损</w:t>
            </w:r>
          </w:p>
        </w:tc>
        <w:tc>
          <w:tcPr>
            <w:tcW w:w="737" w:type="dxa"/>
            <w:noWrap w:val="0"/>
            <w:vAlign w:val="center"/>
          </w:tcPr>
          <w:p w14:paraId="0ACB2134">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195</w:t>
            </w:r>
          </w:p>
        </w:tc>
        <w:tc>
          <w:tcPr>
            <w:tcW w:w="737" w:type="dxa"/>
            <w:noWrap w:val="0"/>
            <w:vAlign w:val="center"/>
          </w:tcPr>
          <w:p w14:paraId="6B5B3843">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187</w:t>
            </w:r>
          </w:p>
        </w:tc>
        <w:tc>
          <w:tcPr>
            <w:tcW w:w="737" w:type="dxa"/>
            <w:noWrap w:val="0"/>
            <w:vAlign w:val="center"/>
          </w:tcPr>
          <w:p w14:paraId="137C3B60">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190</w:t>
            </w:r>
          </w:p>
        </w:tc>
        <w:tc>
          <w:tcPr>
            <w:tcW w:w="737" w:type="dxa"/>
            <w:noWrap w:val="0"/>
            <w:vAlign w:val="center"/>
          </w:tcPr>
          <w:p w14:paraId="0D5FDC3B">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192</w:t>
            </w:r>
          </w:p>
        </w:tc>
        <w:tc>
          <w:tcPr>
            <w:tcW w:w="908" w:type="dxa"/>
            <w:noWrap w:val="0"/>
            <w:vAlign w:val="center"/>
          </w:tcPr>
          <w:p w14:paraId="454F4FA4">
            <w:pPr>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w:t>
            </w:r>
          </w:p>
        </w:tc>
      </w:tr>
      <w:tr w14:paraId="766FA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9" w:type="dxa"/>
            <w:vMerge w:val="continue"/>
            <w:noWrap w:val="0"/>
            <w:vAlign w:val="center"/>
          </w:tcPr>
          <w:p w14:paraId="36BD746D">
            <w:pPr>
              <w:adjustRightInd w:val="0"/>
              <w:snapToGrid w:val="0"/>
              <w:jc w:val="center"/>
              <w:rPr>
                <w:rFonts w:hint="eastAsia" w:ascii="Times New Roman" w:hAnsi="Times New Roman" w:eastAsia="宋体" w:cs="Times New Roman"/>
                <w:kern w:val="0"/>
                <w:szCs w:val="21"/>
                <w:highlight w:val="none"/>
              </w:rPr>
            </w:pPr>
          </w:p>
        </w:tc>
        <w:tc>
          <w:tcPr>
            <w:tcW w:w="1122" w:type="dxa"/>
            <w:vMerge w:val="continue"/>
            <w:noWrap w:val="0"/>
            <w:vAlign w:val="center"/>
          </w:tcPr>
          <w:p w14:paraId="39D11488">
            <w:pPr>
              <w:adjustRightInd w:val="0"/>
              <w:snapToGrid w:val="0"/>
              <w:jc w:val="center"/>
              <w:rPr>
                <w:rFonts w:hint="eastAsia" w:ascii="Times New Roman" w:hAnsi="Times New Roman" w:eastAsia="宋体" w:cs="Times New Roman"/>
                <w:color w:val="auto"/>
                <w:kern w:val="0"/>
                <w:szCs w:val="21"/>
                <w:highlight w:val="none"/>
                <w:lang w:val="en-US" w:eastAsia="zh-CN"/>
              </w:rPr>
            </w:pPr>
          </w:p>
        </w:tc>
        <w:tc>
          <w:tcPr>
            <w:tcW w:w="1633" w:type="dxa"/>
            <w:noWrap w:val="0"/>
            <w:vAlign w:val="center"/>
          </w:tcPr>
          <w:p w14:paraId="1329D0D0">
            <w:pPr>
              <w:ind w:left="-105" w:leftChars="-50" w:right="-105" w:rightChars="-5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厂界</w:t>
            </w:r>
            <w:r>
              <w:rPr>
                <w:rFonts w:hint="default" w:ascii="Times New Roman" w:hAnsi="Times New Roman" w:eastAsia="宋体" w:cs="Times New Roman"/>
                <w:color w:val="auto"/>
                <w:kern w:val="0"/>
                <w:szCs w:val="21"/>
                <w:highlight w:val="none"/>
              </w:rPr>
              <w:t>下风向2</w:t>
            </w:r>
            <w:r>
              <w:rPr>
                <w:rFonts w:hint="default" w:ascii="Times New Roman" w:hAnsi="Times New Roman" w:eastAsia="宋体" w:cs="Times New Roman"/>
                <w:color w:val="auto"/>
                <w:kern w:val="0"/>
                <w:szCs w:val="21"/>
                <w:highlight w:val="none"/>
                <w:vertAlign w:val="superscript"/>
              </w:rPr>
              <w:t>#</w:t>
            </w:r>
          </w:p>
        </w:tc>
        <w:tc>
          <w:tcPr>
            <w:tcW w:w="1131" w:type="dxa"/>
            <w:noWrap w:val="0"/>
            <w:vAlign w:val="center"/>
          </w:tcPr>
          <w:p w14:paraId="18596A97">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完好无破损</w:t>
            </w:r>
          </w:p>
        </w:tc>
        <w:tc>
          <w:tcPr>
            <w:tcW w:w="737" w:type="dxa"/>
            <w:noWrap w:val="0"/>
            <w:vAlign w:val="center"/>
          </w:tcPr>
          <w:p w14:paraId="0D2E52F6">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275</w:t>
            </w:r>
          </w:p>
        </w:tc>
        <w:tc>
          <w:tcPr>
            <w:tcW w:w="737" w:type="dxa"/>
            <w:noWrap w:val="0"/>
            <w:vAlign w:val="center"/>
          </w:tcPr>
          <w:p w14:paraId="4E5EEDFA">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281</w:t>
            </w:r>
          </w:p>
        </w:tc>
        <w:tc>
          <w:tcPr>
            <w:tcW w:w="737" w:type="dxa"/>
            <w:noWrap w:val="0"/>
            <w:vAlign w:val="center"/>
          </w:tcPr>
          <w:p w14:paraId="2594ADD6">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285</w:t>
            </w:r>
          </w:p>
        </w:tc>
        <w:tc>
          <w:tcPr>
            <w:tcW w:w="737" w:type="dxa"/>
            <w:noWrap w:val="0"/>
            <w:vAlign w:val="center"/>
          </w:tcPr>
          <w:p w14:paraId="4A7342D1">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278</w:t>
            </w:r>
          </w:p>
        </w:tc>
        <w:tc>
          <w:tcPr>
            <w:tcW w:w="908" w:type="dxa"/>
            <w:vMerge w:val="restart"/>
            <w:noWrap w:val="0"/>
            <w:vAlign w:val="center"/>
          </w:tcPr>
          <w:p w14:paraId="07DD0C07">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292</w:t>
            </w:r>
          </w:p>
        </w:tc>
      </w:tr>
      <w:tr w14:paraId="7BEA8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9" w:type="dxa"/>
            <w:vMerge w:val="continue"/>
            <w:noWrap w:val="0"/>
            <w:vAlign w:val="center"/>
          </w:tcPr>
          <w:p w14:paraId="78B8C6B1">
            <w:pPr>
              <w:adjustRightInd w:val="0"/>
              <w:snapToGrid w:val="0"/>
              <w:jc w:val="center"/>
              <w:rPr>
                <w:rFonts w:hint="eastAsia" w:ascii="Times New Roman" w:hAnsi="Times New Roman" w:eastAsia="宋体" w:cs="Times New Roman"/>
                <w:kern w:val="0"/>
                <w:szCs w:val="21"/>
                <w:highlight w:val="none"/>
              </w:rPr>
            </w:pPr>
          </w:p>
        </w:tc>
        <w:tc>
          <w:tcPr>
            <w:tcW w:w="1122" w:type="dxa"/>
            <w:vMerge w:val="continue"/>
            <w:noWrap w:val="0"/>
            <w:vAlign w:val="center"/>
          </w:tcPr>
          <w:p w14:paraId="45E1BF67">
            <w:pPr>
              <w:adjustRightInd w:val="0"/>
              <w:snapToGrid w:val="0"/>
              <w:jc w:val="center"/>
              <w:rPr>
                <w:rFonts w:hint="eastAsia" w:ascii="Times New Roman" w:hAnsi="Times New Roman" w:eastAsia="宋体" w:cs="Times New Roman"/>
                <w:kern w:val="0"/>
                <w:szCs w:val="21"/>
                <w:highlight w:val="none"/>
                <w:lang w:val="en-US" w:eastAsia="zh-CN"/>
              </w:rPr>
            </w:pPr>
          </w:p>
        </w:tc>
        <w:tc>
          <w:tcPr>
            <w:tcW w:w="1633" w:type="dxa"/>
            <w:noWrap w:val="0"/>
            <w:vAlign w:val="center"/>
          </w:tcPr>
          <w:p w14:paraId="34A04B66">
            <w:pPr>
              <w:ind w:left="-105" w:leftChars="-50" w:right="-105" w:rightChars="-50"/>
              <w:jc w:val="center"/>
              <w:rPr>
                <w:rFonts w:hint="eastAsia"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厂界</w:t>
            </w:r>
            <w:r>
              <w:rPr>
                <w:rFonts w:hint="default" w:ascii="Times New Roman" w:hAnsi="Times New Roman" w:eastAsia="宋体" w:cs="Times New Roman"/>
                <w:kern w:val="0"/>
                <w:szCs w:val="21"/>
                <w:highlight w:val="none"/>
              </w:rPr>
              <w:t>下风向3</w:t>
            </w:r>
            <w:r>
              <w:rPr>
                <w:rFonts w:hint="default" w:ascii="Times New Roman" w:hAnsi="Times New Roman" w:eastAsia="宋体" w:cs="Times New Roman"/>
                <w:kern w:val="0"/>
                <w:szCs w:val="21"/>
                <w:highlight w:val="none"/>
                <w:vertAlign w:val="superscript"/>
              </w:rPr>
              <w:t>#</w:t>
            </w:r>
          </w:p>
        </w:tc>
        <w:tc>
          <w:tcPr>
            <w:tcW w:w="1131" w:type="dxa"/>
            <w:noWrap w:val="0"/>
            <w:vAlign w:val="center"/>
          </w:tcPr>
          <w:p w14:paraId="3DD87210">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default" w:ascii="宋体" w:hAnsi="宋体" w:eastAsia="宋体" w:cs="宋体"/>
                <w:kern w:val="0"/>
                <w:szCs w:val="21"/>
                <w:highlight w:val="none"/>
                <w:lang w:val="en-US" w:eastAsia="zh-CN"/>
              </w:rPr>
            </w:pPr>
            <w:r>
              <w:rPr>
                <w:rFonts w:hint="default" w:ascii="宋体" w:hAnsi="宋体" w:eastAsia="宋体" w:cs="宋体"/>
                <w:kern w:val="0"/>
                <w:szCs w:val="21"/>
                <w:highlight w:val="none"/>
                <w:lang w:val="en-US" w:eastAsia="zh-CN"/>
              </w:rPr>
              <w:t>完好无破损</w:t>
            </w:r>
          </w:p>
        </w:tc>
        <w:tc>
          <w:tcPr>
            <w:tcW w:w="737" w:type="dxa"/>
            <w:noWrap w:val="0"/>
            <w:vAlign w:val="center"/>
          </w:tcPr>
          <w:p w14:paraId="5446D4C3">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287</w:t>
            </w:r>
          </w:p>
        </w:tc>
        <w:tc>
          <w:tcPr>
            <w:tcW w:w="737" w:type="dxa"/>
            <w:noWrap w:val="0"/>
            <w:vAlign w:val="center"/>
          </w:tcPr>
          <w:p w14:paraId="4C10BD51">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291</w:t>
            </w:r>
          </w:p>
        </w:tc>
        <w:tc>
          <w:tcPr>
            <w:tcW w:w="737" w:type="dxa"/>
            <w:noWrap w:val="0"/>
            <w:vAlign w:val="center"/>
          </w:tcPr>
          <w:p w14:paraId="58C3F541">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275</w:t>
            </w:r>
          </w:p>
        </w:tc>
        <w:tc>
          <w:tcPr>
            <w:tcW w:w="737" w:type="dxa"/>
            <w:noWrap w:val="0"/>
            <w:vAlign w:val="center"/>
          </w:tcPr>
          <w:p w14:paraId="44D4B489">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268</w:t>
            </w:r>
          </w:p>
        </w:tc>
        <w:tc>
          <w:tcPr>
            <w:tcW w:w="908" w:type="dxa"/>
            <w:vMerge w:val="continue"/>
            <w:noWrap w:val="0"/>
            <w:vAlign w:val="center"/>
          </w:tcPr>
          <w:p w14:paraId="25E0CB6E">
            <w:pPr>
              <w:jc w:val="center"/>
              <w:rPr>
                <w:rFonts w:hint="eastAsia" w:ascii="Times New Roman" w:hAnsi="Times New Roman" w:eastAsia="宋体" w:cs="Times New Roman"/>
                <w:color w:val="auto"/>
                <w:kern w:val="0"/>
                <w:szCs w:val="21"/>
                <w:highlight w:val="none"/>
                <w:lang w:val="en-US" w:eastAsia="zh-CN"/>
              </w:rPr>
            </w:pPr>
          </w:p>
        </w:tc>
      </w:tr>
      <w:tr w14:paraId="6EC6C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9" w:type="dxa"/>
            <w:vMerge w:val="continue"/>
            <w:noWrap w:val="0"/>
            <w:vAlign w:val="center"/>
          </w:tcPr>
          <w:p w14:paraId="6AA6E834">
            <w:pPr>
              <w:adjustRightInd w:val="0"/>
              <w:snapToGrid w:val="0"/>
              <w:jc w:val="center"/>
              <w:rPr>
                <w:rFonts w:hint="eastAsia" w:ascii="Times New Roman" w:hAnsi="Times New Roman" w:eastAsia="宋体" w:cs="Times New Roman"/>
                <w:kern w:val="0"/>
                <w:szCs w:val="21"/>
                <w:highlight w:val="none"/>
              </w:rPr>
            </w:pPr>
          </w:p>
        </w:tc>
        <w:tc>
          <w:tcPr>
            <w:tcW w:w="1122" w:type="dxa"/>
            <w:vMerge w:val="continue"/>
            <w:noWrap w:val="0"/>
            <w:vAlign w:val="center"/>
          </w:tcPr>
          <w:p w14:paraId="1FA54B20">
            <w:pPr>
              <w:adjustRightInd w:val="0"/>
              <w:snapToGrid w:val="0"/>
              <w:jc w:val="center"/>
              <w:rPr>
                <w:rFonts w:hint="eastAsia" w:ascii="Times New Roman" w:hAnsi="Times New Roman" w:eastAsia="宋体" w:cs="Times New Roman"/>
                <w:kern w:val="0"/>
                <w:szCs w:val="21"/>
                <w:highlight w:val="none"/>
                <w:lang w:val="en-US" w:eastAsia="zh-CN"/>
              </w:rPr>
            </w:pPr>
          </w:p>
        </w:tc>
        <w:tc>
          <w:tcPr>
            <w:tcW w:w="1633" w:type="dxa"/>
            <w:noWrap w:val="0"/>
            <w:vAlign w:val="center"/>
          </w:tcPr>
          <w:p w14:paraId="716511B1">
            <w:pPr>
              <w:ind w:left="-105" w:leftChars="-50" w:right="-105" w:rightChars="-50"/>
              <w:jc w:val="center"/>
              <w:rPr>
                <w:rFonts w:hint="eastAsia"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厂界</w:t>
            </w:r>
            <w:r>
              <w:rPr>
                <w:rFonts w:hint="default" w:ascii="Times New Roman" w:hAnsi="Times New Roman" w:eastAsia="宋体" w:cs="Times New Roman"/>
                <w:kern w:val="0"/>
                <w:szCs w:val="21"/>
                <w:highlight w:val="none"/>
              </w:rPr>
              <w:t>下风向4</w:t>
            </w:r>
            <w:r>
              <w:rPr>
                <w:rFonts w:hint="default" w:ascii="Times New Roman" w:hAnsi="Times New Roman" w:eastAsia="宋体" w:cs="Times New Roman"/>
                <w:kern w:val="0"/>
                <w:szCs w:val="21"/>
                <w:highlight w:val="none"/>
                <w:vertAlign w:val="superscript"/>
              </w:rPr>
              <w:t>#</w:t>
            </w:r>
          </w:p>
        </w:tc>
        <w:tc>
          <w:tcPr>
            <w:tcW w:w="1131" w:type="dxa"/>
            <w:noWrap w:val="0"/>
            <w:vAlign w:val="center"/>
          </w:tcPr>
          <w:p w14:paraId="1DA46A95">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default" w:ascii="宋体" w:hAnsi="宋体" w:eastAsia="宋体" w:cs="宋体"/>
                <w:kern w:val="0"/>
                <w:szCs w:val="21"/>
                <w:highlight w:val="none"/>
                <w:lang w:val="en-US" w:eastAsia="zh-CN"/>
              </w:rPr>
            </w:pPr>
            <w:r>
              <w:rPr>
                <w:rFonts w:hint="default" w:ascii="宋体" w:hAnsi="宋体" w:eastAsia="宋体" w:cs="宋体"/>
                <w:kern w:val="0"/>
                <w:szCs w:val="21"/>
                <w:highlight w:val="none"/>
                <w:lang w:val="en-US" w:eastAsia="zh-CN"/>
              </w:rPr>
              <w:t>完好无破损</w:t>
            </w:r>
          </w:p>
        </w:tc>
        <w:tc>
          <w:tcPr>
            <w:tcW w:w="737" w:type="dxa"/>
            <w:noWrap w:val="0"/>
            <w:vAlign w:val="center"/>
          </w:tcPr>
          <w:p w14:paraId="0EC75948">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277</w:t>
            </w:r>
          </w:p>
        </w:tc>
        <w:tc>
          <w:tcPr>
            <w:tcW w:w="737" w:type="dxa"/>
            <w:noWrap w:val="0"/>
            <w:vAlign w:val="center"/>
          </w:tcPr>
          <w:p w14:paraId="10C3A6EB">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290</w:t>
            </w:r>
          </w:p>
        </w:tc>
        <w:tc>
          <w:tcPr>
            <w:tcW w:w="737" w:type="dxa"/>
            <w:noWrap w:val="0"/>
            <w:vAlign w:val="center"/>
          </w:tcPr>
          <w:p w14:paraId="29AB57FF">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284</w:t>
            </w:r>
          </w:p>
        </w:tc>
        <w:tc>
          <w:tcPr>
            <w:tcW w:w="737" w:type="dxa"/>
            <w:noWrap w:val="0"/>
            <w:vAlign w:val="center"/>
          </w:tcPr>
          <w:p w14:paraId="61F21240">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292</w:t>
            </w:r>
          </w:p>
        </w:tc>
        <w:tc>
          <w:tcPr>
            <w:tcW w:w="908" w:type="dxa"/>
            <w:vMerge w:val="continue"/>
            <w:noWrap w:val="0"/>
            <w:vAlign w:val="center"/>
          </w:tcPr>
          <w:p w14:paraId="60176A42">
            <w:pPr>
              <w:jc w:val="center"/>
              <w:rPr>
                <w:rFonts w:hint="eastAsia" w:ascii="Times New Roman" w:hAnsi="Times New Roman" w:eastAsia="宋体" w:cs="Times New Roman"/>
                <w:color w:val="auto"/>
                <w:kern w:val="0"/>
                <w:szCs w:val="21"/>
                <w:highlight w:val="none"/>
                <w:lang w:val="en-US" w:eastAsia="zh-CN"/>
              </w:rPr>
            </w:pPr>
          </w:p>
        </w:tc>
      </w:tr>
      <w:tr w14:paraId="68931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9" w:type="dxa"/>
            <w:vMerge w:val="continue"/>
            <w:noWrap w:val="0"/>
            <w:vAlign w:val="center"/>
          </w:tcPr>
          <w:p w14:paraId="38B3AA5C">
            <w:pPr>
              <w:adjustRightInd w:val="0"/>
              <w:snapToGrid w:val="0"/>
              <w:jc w:val="center"/>
              <w:rPr>
                <w:rFonts w:hint="eastAsia" w:ascii="Times New Roman" w:hAnsi="Times New Roman" w:eastAsia="宋体" w:cs="Times New Roman"/>
                <w:kern w:val="0"/>
                <w:szCs w:val="21"/>
                <w:highlight w:val="none"/>
              </w:rPr>
            </w:pPr>
          </w:p>
        </w:tc>
        <w:tc>
          <w:tcPr>
            <w:tcW w:w="1122" w:type="dxa"/>
            <w:vMerge w:val="continue"/>
            <w:noWrap w:val="0"/>
            <w:vAlign w:val="center"/>
          </w:tcPr>
          <w:p w14:paraId="54A99ECD">
            <w:pPr>
              <w:adjustRightInd w:val="0"/>
              <w:snapToGrid w:val="0"/>
              <w:jc w:val="center"/>
              <w:rPr>
                <w:rFonts w:hint="eastAsia" w:ascii="Times New Roman" w:hAnsi="Times New Roman" w:eastAsia="宋体" w:cs="Times New Roman"/>
                <w:kern w:val="0"/>
                <w:szCs w:val="21"/>
                <w:highlight w:val="none"/>
                <w:lang w:val="en-US" w:eastAsia="zh-CN"/>
              </w:rPr>
            </w:pPr>
          </w:p>
        </w:tc>
        <w:tc>
          <w:tcPr>
            <w:tcW w:w="1633" w:type="dxa"/>
            <w:noWrap w:val="0"/>
            <w:vAlign w:val="center"/>
          </w:tcPr>
          <w:p w14:paraId="4C8F4E2D">
            <w:pPr>
              <w:ind w:left="-105" w:leftChars="-50" w:right="-105" w:rightChars="-50"/>
              <w:jc w:val="center"/>
              <w:rPr>
                <w:rFonts w:hint="eastAsia"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t>厂区内5</w:t>
            </w:r>
            <w:r>
              <w:rPr>
                <w:rFonts w:hint="default" w:ascii="Times New Roman" w:hAnsi="Times New Roman" w:eastAsia="宋体" w:cs="Times New Roman"/>
                <w:kern w:val="0"/>
                <w:szCs w:val="21"/>
                <w:highlight w:val="none"/>
                <w:vertAlign w:val="superscript"/>
              </w:rPr>
              <w:t>#</w:t>
            </w:r>
          </w:p>
        </w:tc>
        <w:tc>
          <w:tcPr>
            <w:tcW w:w="1131" w:type="dxa"/>
            <w:noWrap w:val="0"/>
            <w:vAlign w:val="center"/>
          </w:tcPr>
          <w:p w14:paraId="121CC51D">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default" w:ascii="宋体" w:hAnsi="宋体" w:eastAsia="宋体" w:cs="宋体"/>
                <w:kern w:val="0"/>
                <w:szCs w:val="21"/>
                <w:highlight w:val="none"/>
                <w:lang w:val="en-US" w:eastAsia="zh-CN"/>
              </w:rPr>
            </w:pPr>
            <w:r>
              <w:rPr>
                <w:rFonts w:hint="default" w:ascii="宋体" w:hAnsi="宋体" w:eastAsia="宋体" w:cs="宋体"/>
                <w:kern w:val="0"/>
                <w:szCs w:val="21"/>
                <w:highlight w:val="none"/>
                <w:lang w:val="en-US" w:eastAsia="zh-CN"/>
              </w:rPr>
              <w:t>完好无破损</w:t>
            </w:r>
          </w:p>
        </w:tc>
        <w:tc>
          <w:tcPr>
            <w:tcW w:w="737" w:type="dxa"/>
            <w:noWrap w:val="0"/>
            <w:vAlign w:val="center"/>
          </w:tcPr>
          <w:p w14:paraId="10309E70">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366</w:t>
            </w:r>
          </w:p>
        </w:tc>
        <w:tc>
          <w:tcPr>
            <w:tcW w:w="737" w:type="dxa"/>
            <w:noWrap w:val="0"/>
            <w:vAlign w:val="center"/>
          </w:tcPr>
          <w:p w14:paraId="11045C36">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383</w:t>
            </w:r>
          </w:p>
        </w:tc>
        <w:tc>
          <w:tcPr>
            <w:tcW w:w="737" w:type="dxa"/>
            <w:noWrap w:val="0"/>
            <w:vAlign w:val="center"/>
          </w:tcPr>
          <w:p w14:paraId="064E3043">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380</w:t>
            </w:r>
          </w:p>
        </w:tc>
        <w:tc>
          <w:tcPr>
            <w:tcW w:w="737" w:type="dxa"/>
            <w:noWrap w:val="0"/>
            <w:vAlign w:val="center"/>
          </w:tcPr>
          <w:p w14:paraId="157FD4A8">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373</w:t>
            </w:r>
          </w:p>
        </w:tc>
        <w:tc>
          <w:tcPr>
            <w:tcW w:w="908" w:type="dxa"/>
            <w:noWrap w:val="0"/>
            <w:vAlign w:val="center"/>
          </w:tcPr>
          <w:p w14:paraId="1E8B7012">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383</w:t>
            </w:r>
          </w:p>
        </w:tc>
      </w:tr>
      <w:tr w14:paraId="0FF3C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9" w:type="dxa"/>
            <w:vMerge w:val="restart"/>
            <w:noWrap w:val="0"/>
            <w:vAlign w:val="center"/>
          </w:tcPr>
          <w:p w14:paraId="575728E9">
            <w:pPr>
              <w:pStyle w:val="11"/>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硫酸雾</w:t>
            </w:r>
          </w:p>
        </w:tc>
        <w:tc>
          <w:tcPr>
            <w:tcW w:w="1122" w:type="dxa"/>
            <w:vMerge w:val="restart"/>
            <w:noWrap w:val="0"/>
            <w:vAlign w:val="center"/>
          </w:tcPr>
          <w:p w14:paraId="677A74FB">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2026.03.23</w:t>
            </w:r>
          </w:p>
        </w:tc>
        <w:tc>
          <w:tcPr>
            <w:tcW w:w="1633" w:type="dxa"/>
            <w:noWrap w:val="0"/>
            <w:vAlign w:val="center"/>
          </w:tcPr>
          <w:p w14:paraId="0386ECF5">
            <w:pPr>
              <w:ind w:left="-105" w:leftChars="-50" w:right="-105" w:rightChars="-50"/>
              <w:jc w:val="center"/>
              <w:rPr>
                <w:rFonts w:hint="eastAsia" w:ascii="Times New Roman" w:hAnsi="Times New Roman" w:eastAsia="宋体" w:cs="Times New Roman"/>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厂界</w:t>
            </w:r>
            <w:r>
              <w:rPr>
                <w:rFonts w:hint="default" w:ascii="Times New Roman" w:hAnsi="Times New Roman" w:eastAsia="宋体" w:cs="Times New Roman"/>
                <w:color w:val="auto"/>
                <w:kern w:val="0"/>
                <w:szCs w:val="21"/>
                <w:highlight w:val="none"/>
              </w:rPr>
              <w:t>上风向1</w:t>
            </w:r>
            <w:r>
              <w:rPr>
                <w:rFonts w:hint="default" w:ascii="Times New Roman" w:hAnsi="Times New Roman" w:eastAsia="宋体" w:cs="Times New Roman"/>
                <w:color w:val="auto"/>
                <w:kern w:val="0"/>
                <w:szCs w:val="21"/>
                <w:highlight w:val="none"/>
                <w:vertAlign w:val="superscript"/>
              </w:rPr>
              <w:t>#</w:t>
            </w:r>
          </w:p>
        </w:tc>
        <w:tc>
          <w:tcPr>
            <w:tcW w:w="1131" w:type="dxa"/>
            <w:noWrap w:val="0"/>
            <w:vAlign w:val="center"/>
          </w:tcPr>
          <w:p w14:paraId="6F58E291">
            <w:pPr>
              <w:ind w:left="-105" w:leftChars="-50" w:right="-105" w:rightChars="-5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密封完好</w:t>
            </w:r>
          </w:p>
          <w:p w14:paraId="737FF627">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default" w:ascii="宋体" w:hAnsi="宋体" w:eastAsia="宋体" w:cs="宋体"/>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无漏液</w:t>
            </w:r>
          </w:p>
        </w:tc>
        <w:tc>
          <w:tcPr>
            <w:tcW w:w="737" w:type="dxa"/>
            <w:noWrap w:val="0"/>
            <w:vAlign w:val="center"/>
          </w:tcPr>
          <w:p w14:paraId="72B33D53">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0.011</w:t>
            </w:r>
          </w:p>
        </w:tc>
        <w:tc>
          <w:tcPr>
            <w:tcW w:w="737" w:type="dxa"/>
            <w:noWrap w:val="0"/>
            <w:vAlign w:val="center"/>
          </w:tcPr>
          <w:p w14:paraId="403EB3E1">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0.012</w:t>
            </w:r>
          </w:p>
        </w:tc>
        <w:tc>
          <w:tcPr>
            <w:tcW w:w="737" w:type="dxa"/>
            <w:noWrap w:val="0"/>
            <w:vAlign w:val="center"/>
          </w:tcPr>
          <w:p w14:paraId="524140AF">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0.010</w:t>
            </w:r>
          </w:p>
        </w:tc>
        <w:tc>
          <w:tcPr>
            <w:tcW w:w="737" w:type="dxa"/>
            <w:noWrap w:val="0"/>
            <w:vAlign w:val="center"/>
          </w:tcPr>
          <w:p w14:paraId="71BF9C68">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0.014</w:t>
            </w:r>
          </w:p>
        </w:tc>
        <w:tc>
          <w:tcPr>
            <w:tcW w:w="908" w:type="dxa"/>
            <w:noWrap w:val="0"/>
            <w:vAlign w:val="center"/>
          </w:tcPr>
          <w:p w14:paraId="315A5C80">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w:t>
            </w:r>
          </w:p>
        </w:tc>
      </w:tr>
      <w:tr w14:paraId="48EE2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9" w:type="dxa"/>
            <w:vMerge w:val="continue"/>
            <w:noWrap w:val="0"/>
            <w:vAlign w:val="center"/>
          </w:tcPr>
          <w:p w14:paraId="43A21C49">
            <w:pPr>
              <w:adjustRightInd w:val="0"/>
              <w:snapToGrid w:val="0"/>
              <w:jc w:val="center"/>
              <w:rPr>
                <w:rFonts w:hint="eastAsia" w:ascii="Times New Roman" w:hAnsi="Times New Roman" w:eastAsia="宋体" w:cs="Times New Roman"/>
                <w:kern w:val="0"/>
                <w:szCs w:val="21"/>
                <w:highlight w:val="none"/>
              </w:rPr>
            </w:pPr>
          </w:p>
        </w:tc>
        <w:tc>
          <w:tcPr>
            <w:tcW w:w="1122" w:type="dxa"/>
            <w:vMerge w:val="continue"/>
            <w:noWrap w:val="0"/>
            <w:vAlign w:val="center"/>
          </w:tcPr>
          <w:p w14:paraId="5498867E">
            <w:pPr>
              <w:adjustRightInd w:val="0"/>
              <w:snapToGrid w:val="0"/>
              <w:jc w:val="center"/>
              <w:rPr>
                <w:rFonts w:hint="eastAsia" w:ascii="Times New Roman" w:hAnsi="Times New Roman" w:eastAsia="宋体" w:cs="Times New Roman"/>
                <w:kern w:val="0"/>
                <w:szCs w:val="21"/>
                <w:highlight w:val="none"/>
                <w:lang w:val="en-US" w:eastAsia="zh-CN"/>
              </w:rPr>
            </w:pPr>
          </w:p>
        </w:tc>
        <w:tc>
          <w:tcPr>
            <w:tcW w:w="1633" w:type="dxa"/>
            <w:noWrap w:val="0"/>
            <w:vAlign w:val="center"/>
          </w:tcPr>
          <w:p w14:paraId="2D57E32F">
            <w:pPr>
              <w:ind w:left="-105" w:leftChars="-50" w:right="-105" w:rightChars="-50"/>
              <w:jc w:val="center"/>
              <w:rPr>
                <w:rFonts w:hint="eastAsia" w:ascii="Times New Roman" w:hAnsi="Times New Roman" w:eastAsia="宋体" w:cs="Times New Roman"/>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厂界</w:t>
            </w:r>
            <w:r>
              <w:rPr>
                <w:rFonts w:hint="default" w:ascii="Times New Roman" w:hAnsi="Times New Roman" w:eastAsia="宋体" w:cs="Times New Roman"/>
                <w:color w:val="auto"/>
                <w:kern w:val="0"/>
                <w:szCs w:val="21"/>
                <w:highlight w:val="none"/>
              </w:rPr>
              <w:t>下风向2</w:t>
            </w:r>
            <w:r>
              <w:rPr>
                <w:rFonts w:hint="default" w:ascii="Times New Roman" w:hAnsi="Times New Roman" w:eastAsia="宋体" w:cs="Times New Roman"/>
                <w:color w:val="auto"/>
                <w:kern w:val="0"/>
                <w:szCs w:val="21"/>
                <w:highlight w:val="none"/>
                <w:vertAlign w:val="superscript"/>
              </w:rPr>
              <w:t>#</w:t>
            </w:r>
          </w:p>
        </w:tc>
        <w:tc>
          <w:tcPr>
            <w:tcW w:w="1131" w:type="dxa"/>
            <w:noWrap w:val="0"/>
            <w:vAlign w:val="center"/>
          </w:tcPr>
          <w:p w14:paraId="5B3A6DCE">
            <w:pPr>
              <w:ind w:left="-105" w:leftChars="-50" w:right="-105" w:rightChars="-5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密封完好</w:t>
            </w:r>
          </w:p>
          <w:p w14:paraId="4B03A7D7">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default" w:ascii="宋体" w:hAnsi="宋体" w:eastAsia="宋体" w:cs="宋体"/>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无漏液</w:t>
            </w:r>
          </w:p>
        </w:tc>
        <w:tc>
          <w:tcPr>
            <w:tcW w:w="737" w:type="dxa"/>
            <w:noWrap w:val="0"/>
            <w:vAlign w:val="center"/>
          </w:tcPr>
          <w:p w14:paraId="0F118940">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0.035</w:t>
            </w:r>
          </w:p>
        </w:tc>
        <w:tc>
          <w:tcPr>
            <w:tcW w:w="737" w:type="dxa"/>
            <w:noWrap w:val="0"/>
            <w:vAlign w:val="center"/>
          </w:tcPr>
          <w:p w14:paraId="36121BD3">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0.034</w:t>
            </w:r>
          </w:p>
        </w:tc>
        <w:tc>
          <w:tcPr>
            <w:tcW w:w="737" w:type="dxa"/>
            <w:noWrap w:val="0"/>
            <w:vAlign w:val="center"/>
          </w:tcPr>
          <w:p w14:paraId="76504C8C">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0.036</w:t>
            </w:r>
          </w:p>
        </w:tc>
        <w:tc>
          <w:tcPr>
            <w:tcW w:w="737" w:type="dxa"/>
            <w:noWrap w:val="0"/>
            <w:vAlign w:val="center"/>
          </w:tcPr>
          <w:p w14:paraId="7FF1CC84">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0.038</w:t>
            </w:r>
          </w:p>
        </w:tc>
        <w:tc>
          <w:tcPr>
            <w:tcW w:w="908" w:type="dxa"/>
            <w:vMerge w:val="restart"/>
            <w:noWrap w:val="0"/>
            <w:vAlign w:val="center"/>
          </w:tcPr>
          <w:p w14:paraId="4CBAA5C0">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0.040</w:t>
            </w:r>
          </w:p>
        </w:tc>
      </w:tr>
      <w:tr w14:paraId="7CB6B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9" w:type="dxa"/>
            <w:vMerge w:val="continue"/>
            <w:noWrap w:val="0"/>
            <w:vAlign w:val="center"/>
          </w:tcPr>
          <w:p w14:paraId="79F09290">
            <w:pPr>
              <w:pStyle w:val="11"/>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eastAsia" w:ascii="Times New Roman" w:hAnsi="Times New Roman" w:eastAsia="宋体" w:cs="Times New Roman"/>
                <w:kern w:val="0"/>
                <w:szCs w:val="21"/>
                <w:highlight w:val="none"/>
              </w:rPr>
            </w:pPr>
          </w:p>
        </w:tc>
        <w:tc>
          <w:tcPr>
            <w:tcW w:w="1122" w:type="dxa"/>
            <w:vMerge w:val="continue"/>
            <w:noWrap w:val="0"/>
            <w:vAlign w:val="center"/>
          </w:tcPr>
          <w:p w14:paraId="1D75FF45">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eastAsia" w:ascii="Times New Roman" w:hAnsi="Times New Roman" w:eastAsia="宋体" w:cs="Times New Roman"/>
                <w:kern w:val="0"/>
                <w:szCs w:val="21"/>
                <w:highlight w:val="none"/>
                <w:lang w:val="en-US" w:eastAsia="zh-CN"/>
              </w:rPr>
            </w:pPr>
          </w:p>
        </w:tc>
        <w:tc>
          <w:tcPr>
            <w:tcW w:w="1633" w:type="dxa"/>
            <w:noWrap w:val="0"/>
            <w:vAlign w:val="center"/>
          </w:tcPr>
          <w:p w14:paraId="6074C68A">
            <w:pPr>
              <w:ind w:left="-105" w:leftChars="-50" w:right="-105" w:rightChars="-50"/>
              <w:jc w:val="center"/>
              <w:rPr>
                <w:rFonts w:hint="eastAsia" w:ascii="Times New Roman" w:hAnsi="Times New Roman" w:eastAsia="宋体" w:cs="Times New Roman"/>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厂界</w:t>
            </w:r>
            <w:r>
              <w:rPr>
                <w:rFonts w:hint="default" w:ascii="Times New Roman" w:hAnsi="Times New Roman" w:eastAsia="宋体" w:cs="Times New Roman"/>
                <w:color w:val="auto"/>
                <w:kern w:val="0"/>
                <w:szCs w:val="21"/>
                <w:highlight w:val="none"/>
              </w:rPr>
              <w:t>下风向3</w:t>
            </w:r>
            <w:r>
              <w:rPr>
                <w:rFonts w:hint="default" w:ascii="Times New Roman" w:hAnsi="Times New Roman" w:eastAsia="宋体" w:cs="Times New Roman"/>
                <w:color w:val="auto"/>
                <w:kern w:val="0"/>
                <w:szCs w:val="21"/>
                <w:highlight w:val="none"/>
                <w:vertAlign w:val="superscript"/>
              </w:rPr>
              <w:t>#</w:t>
            </w:r>
          </w:p>
        </w:tc>
        <w:tc>
          <w:tcPr>
            <w:tcW w:w="1131" w:type="dxa"/>
            <w:noWrap w:val="0"/>
            <w:vAlign w:val="center"/>
          </w:tcPr>
          <w:p w14:paraId="6BB780B6">
            <w:pPr>
              <w:ind w:left="-105" w:leftChars="-50" w:right="-105" w:rightChars="-5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密封完好</w:t>
            </w:r>
          </w:p>
          <w:p w14:paraId="75211EBE">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default" w:ascii="宋体" w:hAnsi="宋体" w:eastAsia="宋体" w:cs="宋体"/>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无漏液</w:t>
            </w:r>
          </w:p>
        </w:tc>
        <w:tc>
          <w:tcPr>
            <w:tcW w:w="737" w:type="dxa"/>
            <w:noWrap w:val="0"/>
            <w:vAlign w:val="center"/>
          </w:tcPr>
          <w:p w14:paraId="320DE736">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0.037</w:t>
            </w:r>
          </w:p>
        </w:tc>
        <w:tc>
          <w:tcPr>
            <w:tcW w:w="737" w:type="dxa"/>
            <w:noWrap w:val="0"/>
            <w:vAlign w:val="center"/>
          </w:tcPr>
          <w:p w14:paraId="1CE4B8C5">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0.040</w:t>
            </w:r>
          </w:p>
        </w:tc>
        <w:tc>
          <w:tcPr>
            <w:tcW w:w="737" w:type="dxa"/>
            <w:noWrap w:val="0"/>
            <w:vAlign w:val="center"/>
          </w:tcPr>
          <w:p w14:paraId="4432AF25">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0.039</w:t>
            </w:r>
          </w:p>
        </w:tc>
        <w:tc>
          <w:tcPr>
            <w:tcW w:w="737" w:type="dxa"/>
            <w:noWrap w:val="0"/>
            <w:vAlign w:val="center"/>
          </w:tcPr>
          <w:p w14:paraId="06681BE9">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0.036</w:t>
            </w:r>
          </w:p>
        </w:tc>
        <w:tc>
          <w:tcPr>
            <w:tcW w:w="908" w:type="dxa"/>
            <w:vMerge w:val="continue"/>
            <w:noWrap w:val="0"/>
            <w:vAlign w:val="center"/>
          </w:tcPr>
          <w:p w14:paraId="7CBFF136">
            <w:pPr>
              <w:jc w:val="center"/>
              <w:rPr>
                <w:rFonts w:hint="default" w:ascii="Times New Roman" w:hAnsi="Times New Roman" w:eastAsia="宋体" w:cs="Times New Roman"/>
                <w:color w:val="auto"/>
                <w:kern w:val="0"/>
                <w:szCs w:val="21"/>
                <w:highlight w:val="none"/>
                <w:lang w:val="en-US" w:eastAsia="zh-CN"/>
              </w:rPr>
            </w:pPr>
          </w:p>
        </w:tc>
      </w:tr>
      <w:tr w14:paraId="1221E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9" w:type="dxa"/>
            <w:vMerge w:val="continue"/>
            <w:noWrap w:val="0"/>
            <w:vAlign w:val="center"/>
          </w:tcPr>
          <w:p w14:paraId="462376F5">
            <w:pPr>
              <w:pStyle w:val="11"/>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eastAsia" w:ascii="Times New Roman" w:hAnsi="Times New Roman" w:eastAsia="宋体" w:cs="Times New Roman"/>
                <w:kern w:val="0"/>
                <w:szCs w:val="21"/>
                <w:highlight w:val="none"/>
              </w:rPr>
            </w:pPr>
          </w:p>
        </w:tc>
        <w:tc>
          <w:tcPr>
            <w:tcW w:w="1122" w:type="dxa"/>
            <w:vMerge w:val="continue"/>
            <w:noWrap w:val="0"/>
            <w:vAlign w:val="center"/>
          </w:tcPr>
          <w:p w14:paraId="601F13D7">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eastAsia" w:ascii="Times New Roman" w:hAnsi="Times New Roman" w:eastAsia="宋体" w:cs="Times New Roman"/>
                <w:kern w:val="0"/>
                <w:szCs w:val="21"/>
                <w:highlight w:val="none"/>
                <w:lang w:val="en-US" w:eastAsia="zh-CN"/>
              </w:rPr>
            </w:pPr>
          </w:p>
        </w:tc>
        <w:tc>
          <w:tcPr>
            <w:tcW w:w="1633" w:type="dxa"/>
            <w:noWrap w:val="0"/>
            <w:vAlign w:val="center"/>
          </w:tcPr>
          <w:p w14:paraId="5CDBF1D7">
            <w:pPr>
              <w:ind w:left="-105" w:leftChars="-50" w:right="-105" w:rightChars="-50"/>
              <w:jc w:val="center"/>
              <w:rPr>
                <w:rFonts w:hint="eastAsia" w:ascii="Times New Roman" w:hAnsi="Times New Roman" w:eastAsia="宋体" w:cs="Times New Roman"/>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厂界</w:t>
            </w:r>
            <w:r>
              <w:rPr>
                <w:rFonts w:hint="default" w:ascii="Times New Roman" w:hAnsi="Times New Roman" w:eastAsia="宋体" w:cs="Times New Roman"/>
                <w:color w:val="auto"/>
                <w:kern w:val="0"/>
                <w:szCs w:val="21"/>
                <w:highlight w:val="none"/>
              </w:rPr>
              <w:t>下风向4</w:t>
            </w:r>
            <w:r>
              <w:rPr>
                <w:rFonts w:hint="default" w:ascii="Times New Roman" w:hAnsi="Times New Roman" w:eastAsia="宋体" w:cs="Times New Roman"/>
                <w:color w:val="auto"/>
                <w:kern w:val="0"/>
                <w:szCs w:val="21"/>
                <w:highlight w:val="none"/>
                <w:vertAlign w:val="superscript"/>
              </w:rPr>
              <w:t>#</w:t>
            </w:r>
          </w:p>
        </w:tc>
        <w:tc>
          <w:tcPr>
            <w:tcW w:w="1131" w:type="dxa"/>
            <w:noWrap w:val="0"/>
            <w:vAlign w:val="center"/>
          </w:tcPr>
          <w:p w14:paraId="16BB6FF8">
            <w:pPr>
              <w:ind w:left="-105" w:leftChars="-50" w:right="-105" w:rightChars="-5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密封完好</w:t>
            </w:r>
          </w:p>
          <w:p w14:paraId="3D0D7C14">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default" w:ascii="宋体" w:hAnsi="宋体" w:eastAsia="宋体" w:cs="宋体"/>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无漏液</w:t>
            </w:r>
          </w:p>
        </w:tc>
        <w:tc>
          <w:tcPr>
            <w:tcW w:w="737" w:type="dxa"/>
            <w:noWrap w:val="0"/>
            <w:vAlign w:val="center"/>
          </w:tcPr>
          <w:p w14:paraId="3115D0F8">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0.039</w:t>
            </w:r>
          </w:p>
        </w:tc>
        <w:tc>
          <w:tcPr>
            <w:tcW w:w="737" w:type="dxa"/>
            <w:noWrap w:val="0"/>
            <w:vAlign w:val="center"/>
          </w:tcPr>
          <w:p w14:paraId="598953E9">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0.039</w:t>
            </w:r>
          </w:p>
        </w:tc>
        <w:tc>
          <w:tcPr>
            <w:tcW w:w="737" w:type="dxa"/>
            <w:noWrap w:val="0"/>
            <w:vAlign w:val="center"/>
          </w:tcPr>
          <w:p w14:paraId="2EB68E55">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0.039</w:t>
            </w:r>
          </w:p>
        </w:tc>
        <w:tc>
          <w:tcPr>
            <w:tcW w:w="737" w:type="dxa"/>
            <w:noWrap w:val="0"/>
            <w:vAlign w:val="center"/>
          </w:tcPr>
          <w:p w14:paraId="29EB854C">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0.040</w:t>
            </w:r>
          </w:p>
        </w:tc>
        <w:tc>
          <w:tcPr>
            <w:tcW w:w="908" w:type="dxa"/>
            <w:vMerge w:val="continue"/>
            <w:noWrap w:val="0"/>
            <w:vAlign w:val="center"/>
          </w:tcPr>
          <w:p w14:paraId="31ED28E8">
            <w:pPr>
              <w:jc w:val="center"/>
              <w:rPr>
                <w:rFonts w:hint="default" w:ascii="Times New Roman" w:hAnsi="Times New Roman" w:eastAsia="宋体" w:cs="Times New Roman"/>
                <w:color w:val="auto"/>
                <w:kern w:val="0"/>
                <w:szCs w:val="21"/>
                <w:highlight w:val="none"/>
                <w:lang w:val="en-US" w:eastAsia="zh-CN"/>
              </w:rPr>
            </w:pPr>
          </w:p>
        </w:tc>
      </w:tr>
      <w:tr w14:paraId="4A075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9" w:type="dxa"/>
            <w:vMerge w:val="restart"/>
            <w:noWrap w:val="0"/>
            <w:vAlign w:val="center"/>
          </w:tcPr>
          <w:p w14:paraId="68CC3322">
            <w:pPr>
              <w:pStyle w:val="11"/>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总悬浮</w:t>
            </w:r>
          </w:p>
          <w:p w14:paraId="3482E42B">
            <w:pPr>
              <w:pStyle w:val="11"/>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eastAsia" w:ascii="Times New Roman" w:hAnsi="Times New Roman" w:eastAsia="宋体" w:cs="Times New Roman"/>
                <w:kern w:val="0"/>
                <w:szCs w:val="21"/>
                <w:highlight w:val="none"/>
                <w:lang w:val="en-US" w:eastAsia="zh-CN"/>
              </w:rPr>
            </w:pPr>
            <w:r>
              <w:rPr>
                <w:rFonts w:hint="eastAsia" w:ascii="宋体" w:hAnsi="宋体" w:eastAsia="宋体" w:cs="宋体"/>
                <w:kern w:val="0"/>
                <w:szCs w:val="21"/>
                <w:highlight w:val="none"/>
                <w:lang w:val="en-US" w:eastAsia="zh-CN"/>
              </w:rPr>
              <w:t>颗粒</w:t>
            </w:r>
            <w:r>
              <w:rPr>
                <w:rFonts w:hint="eastAsia"/>
                <w:highlight w:val="none"/>
                <w:lang w:val="en-US" w:eastAsia="zh-CN"/>
              </w:rPr>
              <w:t>物</w:t>
            </w:r>
            <w:r>
              <w:rPr>
                <w:rFonts w:hint="eastAsia"/>
                <w:highlight w:val="none"/>
                <w:lang w:eastAsia="zh-CN"/>
              </w:rPr>
              <w:t>（</w:t>
            </w:r>
            <w:r>
              <w:rPr>
                <w:rFonts w:hint="default" w:ascii="Times New Roman" w:hAnsi="Times New Roman" w:cs="Times New Roman"/>
                <w:highlight w:val="none"/>
                <w:lang w:val="en-US" w:eastAsia="zh-CN"/>
              </w:rPr>
              <w:t>μg/</w:t>
            </w:r>
            <w:r>
              <w:rPr>
                <w:rFonts w:hint="eastAsia"/>
                <w:highlight w:val="none"/>
                <w:lang w:val="en-US" w:eastAsia="zh-CN"/>
              </w:rPr>
              <w:t>m</w:t>
            </w:r>
            <w:r>
              <w:rPr>
                <w:rFonts w:hint="eastAsia"/>
                <w:highlight w:val="none"/>
                <w:vertAlign w:val="superscript"/>
                <w:lang w:val="en-US" w:eastAsia="zh-CN"/>
              </w:rPr>
              <w:t>3</w:t>
            </w:r>
            <w:r>
              <w:rPr>
                <w:rFonts w:hint="eastAsia"/>
                <w:highlight w:val="none"/>
                <w:lang w:eastAsia="zh-CN"/>
              </w:rPr>
              <w:t>）</w:t>
            </w:r>
          </w:p>
        </w:tc>
        <w:tc>
          <w:tcPr>
            <w:tcW w:w="1122" w:type="dxa"/>
            <w:vMerge w:val="restart"/>
            <w:noWrap w:val="0"/>
            <w:vAlign w:val="center"/>
          </w:tcPr>
          <w:p w14:paraId="36A79B17">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bidi="ar-SA"/>
              </w:rPr>
              <w:t>2026.03.24</w:t>
            </w:r>
          </w:p>
        </w:tc>
        <w:tc>
          <w:tcPr>
            <w:tcW w:w="1633" w:type="dxa"/>
            <w:noWrap w:val="0"/>
            <w:vAlign w:val="center"/>
          </w:tcPr>
          <w:p w14:paraId="4A9F78E1">
            <w:pPr>
              <w:ind w:left="-105" w:leftChars="-50" w:right="-105" w:rightChars="-5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厂界</w:t>
            </w:r>
            <w:r>
              <w:rPr>
                <w:rFonts w:hint="default" w:ascii="Times New Roman" w:hAnsi="Times New Roman" w:eastAsia="宋体" w:cs="Times New Roman"/>
                <w:color w:val="auto"/>
                <w:kern w:val="0"/>
                <w:szCs w:val="21"/>
                <w:highlight w:val="none"/>
              </w:rPr>
              <w:t>上风向1</w:t>
            </w:r>
            <w:r>
              <w:rPr>
                <w:rFonts w:hint="default" w:ascii="Times New Roman" w:hAnsi="Times New Roman" w:eastAsia="宋体" w:cs="Times New Roman"/>
                <w:color w:val="auto"/>
                <w:kern w:val="0"/>
                <w:szCs w:val="21"/>
                <w:highlight w:val="none"/>
                <w:vertAlign w:val="superscript"/>
              </w:rPr>
              <w:t>#</w:t>
            </w:r>
          </w:p>
        </w:tc>
        <w:tc>
          <w:tcPr>
            <w:tcW w:w="1131" w:type="dxa"/>
            <w:noWrap w:val="0"/>
            <w:vAlign w:val="center"/>
          </w:tcPr>
          <w:p w14:paraId="4984140E">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完好无破损</w:t>
            </w:r>
          </w:p>
        </w:tc>
        <w:tc>
          <w:tcPr>
            <w:tcW w:w="737" w:type="dxa"/>
            <w:noWrap w:val="0"/>
            <w:vAlign w:val="center"/>
          </w:tcPr>
          <w:p w14:paraId="361241C6">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209</w:t>
            </w:r>
          </w:p>
        </w:tc>
        <w:tc>
          <w:tcPr>
            <w:tcW w:w="737" w:type="dxa"/>
            <w:noWrap w:val="0"/>
            <w:vAlign w:val="center"/>
          </w:tcPr>
          <w:p w14:paraId="0041001E">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233</w:t>
            </w:r>
          </w:p>
        </w:tc>
        <w:tc>
          <w:tcPr>
            <w:tcW w:w="737" w:type="dxa"/>
            <w:noWrap w:val="0"/>
            <w:vAlign w:val="center"/>
          </w:tcPr>
          <w:p w14:paraId="10C0812B">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222</w:t>
            </w:r>
          </w:p>
        </w:tc>
        <w:tc>
          <w:tcPr>
            <w:tcW w:w="737" w:type="dxa"/>
            <w:noWrap w:val="0"/>
            <w:vAlign w:val="center"/>
          </w:tcPr>
          <w:p w14:paraId="08344EC1">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227</w:t>
            </w:r>
          </w:p>
        </w:tc>
        <w:tc>
          <w:tcPr>
            <w:tcW w:w="908" w:type="dxa"/>
            <w:noWrap w:val="0"/>
            <w:vAlign w:val="center"/>
          </w:tcPr>
          <w:p w14:paraId="7185CF05">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w:t>
            </w:r>
          </w:p>
        </w:tc>
      </w:tr>
      <w:tr w14:paraId="33962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9" w:type="dxa"/>
            <w:vMerge w:val="continue"/>
            <w:noWrap w:val="0"/>
            <w:vAlign w:val="center"/>
          </w:tcPr>
          <w:p w14:paraId="60D6C68A">
            <w:pPr>
              <w:adjustRightInd w:val="0"/>
              <w:snapToGrid w:val="0"/>
              <w:jc w:val="center"/>
              <w:rPr>
                <w:rFonts w:hint="eastAsia" w:ascii="Times New Roman" w:hAnsi="Times New Roman" w:eastAsia="宋体" w:cs="Times New Roman"/>
                <w:kern w:val="0"/>
                <w:szCs w:val="21"/>
                <w:highlight w:val="none"/>
              </w:rPr>
            </w:pPr>
          </w:p>
        </w:tc>
        <w:tc>
          <w:tcPr>
            <w:tcW w:w="1122" w:type="dxa"/>
            <w:vMerge w:val="continue"/>
            <w:noWrap w:val="0"/>
            <w:vAlign w:val="center"/>
          </w:tcPr>
          <w:p w14:paraId="1CD0AD38">
            <w:pPr>
              <w:adjustRightInd w:val="0"/>
              <w:snapToGrid w:val="0"/>
              <w:jc w:val="center"/>
              <w:rPr>
                <w:rFonts w:hint="eastAsia" w:ascii="Times New Roman" w:hAnsi="Times New Roman" w:eastAsia="宋体" w:cs="Times New Roman"/>
                <w:color w:val="auto"/>
                <w:kern w:val="0"/>
                <w:szCs w:val="21"/>
                <w:highlight w:val="none"/>
                <w:lang w:val="en-US" w:eastAsia="zh-CN"/>
              </w:rPr>
            </w:pPr>
          </w:p>
        </w:tc>
        <w:tc>
          <w:tcPr>
            <w:tcW w:w="1633" w:type="dxa"/>
            <w:noWrap w:val="0"/>
            <w:vAlign w:val="center"/>
          </w:tcPr>
          <w:p w14:paraId="55FD93CB">
            <w:pPr>
              <w:ind w:left="-105" w:leftChars="-50" w:right="-105" w:rightChars="-5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厂界</w:t>
            </w:r>
            <w:r>
              <w:rPr>
                <w:rFonts w:hint="default" w:ascii="Times New Roman" w:hAnsi="Times New Roman" w:eastAsia="宋体" w:cs="Times New Roman"/>
                <w:color w:val="auto"/>
                <w:kern w:val="0"/>
                <w:szCs w:val="21"/>
                <w:highlight w:val="none"/>
              </w:rPr>
              <w:t>下风向2</w:t>
            </w:r>
            <w:r>
              <w:rPr>
                <w:rFonts w:hint="default" w:ascii="Times New Roman" w:hAnsi="Times New Roman" w:eastAsia="宋体" w:cs="Times New Roman"/>
                <w:color w:val="auto"/>
                <w:kern w:val="0"/>
                <w:szCs w:val="21"/>
                <w:highlight w:val="none"/>
                <w:vertAlign w:val="superscript"/>
              </w:rPr>
              <w:t>#</w:t>
            </w:r>
          </w:p>
        </w:tc>
        <w:tc>
          <w:tcPr>
            <w:tcW w:w="1131" w:type="dxa"/>
            <w:noWrap w:val="0"/>
            <w:vAlign w:val="center"/>
          </w:tcPr>
          <w:p w14:paraId="402B2894">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完好无破损</w:t>
            </w:r>
          </w:p>
        </w:tc>
        <w:tc>
          <w:tcPr>
            <w:tcW w:w="737" w:type="dxa"/>
            <w:noWrap w:val="0"/>
            <w:vAlign w:val="center"/>
          </w:tcPr>
          <w:p w14:paraId="37901F4E">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307</w:t>
            </w:r>
          </w:p>
        </w:tc>
        <w:tc>
          <w:tcPr>
            <w:tcW w:w="737" w:type="dxa"/>
            <w:noWrap w:val="0"/>
            <w:vAlign w:val="center"/>
          </w:tcPr>
          <w:p w14:paraId="14819894">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314</w:t>
            </w:r>
          </w:p>
        </w:tc>
        <w:tc>
          <w:tcPr>
            <w:tcW w:w="737" w:type="dxa"/>
            <w:noWrap w:val="0"/>
            <w:vAlign w:val="center"/>
          </w:tcPr>
          <w:p w14:paraId="21A96179">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320</w:t>
            </w:r>
          </w:p>
        </w:tc>
        <w:tc>
          <w:tcPr>
            <w:tcW w:w="737" w:type="dxa"/>
            <w:noWrap w:val="0"/>
            <w:vAlign w:val="center"/>
          </w:tcPr>
          <w:p w14:paraId="1156ED9C">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332</w:t>
            </w:r>
          </w:p>
        </w:tc>
        <w:tc>
          <w:tcPr>
            <w:tcW w:w="908" w:type="dxa"/>
            <w:vMerge w:val="restart"/>
            <w:noWrap w:val="0"/>
            <w:vAlign w:val="center"/>
          </w:tcPr>
          <w:p w14:paraId="36AF3BAC">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337</w:t>
            </w:r>
          </w:p>
        </w:tc>
      </w:tr>
      <w:tr w14:paraId="38ACA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9" w:type="dxa"/>
            <w:vMerge w:val="continue"/>
            <w:noWrap w:val="0"/>
            <w:vAlign w:val="center"/>
          </w:tcPr>
          <w:p w14:paraId="74BD9647">
            <w:pPr>
              <w:adjustRightInd w:val="0"/>
              <w:snapToGrid w:val="0"/>
              <w:jc w:val="center"/>
              <w:rPr>
                <w:rFonts w:hint="eastAsia" w:ascii="Times New Roman" w:hAnsi="Times New Roman" w:eastAsia="宋体" w:cs="Times New Roman"/>
                <w:kern w:val="0"/>
                <w:szCs w:val="21"/>
                <w:highlight w:val="none"/>
              </w:rPr>
            </w:pPr>
          </w:p>
        </w:tc>
        <w:tc>
          <w:tcPr>
            <w:tcW w:w="1122" w:type="dxa"/>
            <w:vMerge w:val="continue"/>
            <w:noWrap w:val="0"/>
            <w:vAlign w:val="center"/>
          </w:tcPr>
          <w:p w14:paraId="7FCFE755">
            <w:pPr>
              <w:adjustRightInd w:val="0"/>
              <w:snapToGrid w:val="0"/>
              <w:jc w:val="center"/>
              <w:rPr>
                <w:rFonts w:hint="eastAsia" w:ascii="Times New Roman" w:hAnsi="Times New Roman" w:eastAsia="宋体" w:cs="Times New Roman"/>
                <w:color w:val="auto"/>
                <w:kern w:val="0"/>
                <w:szCs w:val="21"/>
                <w:highlight w:val="none"/>
                <w:lang w:val="en-US" w:eastAsia="zh-CN"/>
              </w:rPr>
            </w:pPr>
          </w:p>
        </w:tc>
        <w:tc>
          <w:tcPr>
            <w:tcW w:w="1633" w:type="dxa"/>
            <w:noWrap w:val="0"/>
            <w:vAlign w:val="center"/>
          </w:tcPr>
          <w:p w14:paraId="03E92FA0">
            <w:pPr>
              <w:ind w:left="-105" w:leftChars="-50" w:right="-105" w:rightChars="-5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厂界</w:t>
            </w:r>
            <w:r>
              <w:rPr>
                <w:rFonts w:hint="default" w:ascii="Times New Roman" w:hAnsi="Times New Roman" w:eastAsia="宋体" w:cs="Times New Roman"/>
                <w:color w:val="auto"/>
                <w:kern w:val="0"/>
                <w:szCs w:val="21"/>
                <w:highlight w:val="none"/>
              </w:rPr>
              <w:t>下风向3</w:t>
            </w:r>
            <w:r>
              <w:rPr>
                <w:rFonts w:hint="default" w:ascii="Times New Roman" w:hAnsi="Times New Roman" w:eastAsia="宋体" w:cs="Times New Roman"/>
                <w:color w:val="auto"/>
                <w:kern w:val="0"/>
                <w:szCs w:val="21"/>
                <w:highlight w:val="none"/>
                <w:vertAlign w:val="superscript"/>
              </w:rPr>
              <w:t>#</w:t>
            </w:r>
          </w:p>
        </w:tc>
        <w:tc>
          <w:tcPr>
            <w:tcW w:w="1131" w:type="dxa"/>
            <w:noWrap w:val="0"/>
            <w:vAlign w:val="center"/>
          </w:tcPr>
          <w:p w14:paraId="5291F02E">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完好无破损</w:t>
            </w:r>
          </w:p>
        </w:tc>
        <w:tc>
          <w:tcPr>
            <w:tcW w:w="737" w:type="dxa"/>
            <w:noWrap w:val="0"/>
            <w:vAlign w:val="center"/>
          </w:tcPr>
          <w:p w14:paraId="0FE6099E">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309</w:t>
            </w:r>
          </w:p>
        </w:tc>
        <w:tc>
          <w:tcPr>
            <w:tcW w:w="737" w:type="dxa"/>
            <w:noWrap w:val="0"/>
            <w:vAlign w:val="center"/>
          </w:tcPr>
          <w:p w14:paraId="2A4A9459">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325</w:t>
            </w:r>
          </w:p>
        </w:tc>
        <w:tc>
          <w:tcPr>
            <w:tcW w:w="737" w:type="dxa"/>
            <w:noWrap w:val="0"/>
            <w:vAlign w:val="center"/>
          </w:tcPr>
          <w:p w14:paraId="5B61CF8E">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317</w:t>
            </w:r>
          </w:p>
        </w:tc>
        <w:tc>
          <w:tcPr>
            <w:tcW w:w="737" w:type="dxa"/>
            <w:noWrap w:val="0"/>
            <w:vAlign w:val="center"/>
          </w:tcPr>
          <w:p w14:paraId="73928D13">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337</w:t>
            </w:r>
          </w:p>
        </w:tc>
        <w:tc>
          <w:tcPr>
            <w:tcW w:w="908" w:type="dxa"/>
            <w:vMerge w:val="continue"/>
            <w:noWrap w:val="0"/>
            <w:vAlign w:val="center"/>
          </w:tcPr>
          <w:p w14:paraId="06AD2460">
            <w:pPr>
              <w:jc w:val="center"/>
              <w:rPr>
                <w:rFonts w:hint="eastAsia" w:ascii="Times New Roman" w:hAnsi="Times New Roman" w:eastAsia="宋体" w:cs="Times New Roman"/>
                <w:color w:val="auto"/>
                <w:kern w:val="0"/>
                <w:szCs w:val="21"/>
                <w:highlight w:val="none"/>
                <w:lang w:val="en-US" w:eastAsia="zh-CN"/>
              </w:rPr>
            </w:pPr>
          </w:p>
        </w:tc>
      </w:tr>
      <w:tr w14:paraId="7C22F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9" w:type="dxa"/>
            <w:vMerge w:val="continue"/>
            <w:noWrap w:val="0"/>
            <w:vAlign w:val="center"/>
          </w:tcPr>
          <w:p w14:paraId="447419AC">
            <w:pPr>
              <w:adjustRightInd w:val="0"/>
              <w:snapToGrid w:val="0"/>
              <w:jc w:val="center"/>
              <w:rPr>
                <w:rFonts w:hint="eastAsia" w:ascii="Times New Roman" w:hAnsi="Times New Roman" w:eastAsia="宋体" w:cs="Times New Roman"/>
                <w:kern w:val="0"/>
                <w:szCs w:val="21"/>
                <w:highlight w:val="none"/>
                <w:lang w:val="en-US" w:eastAsia="zh-CN"/>
              </w:rPr>
            </w:pPr>
          </w:p>
        </w:tc>
        <w:tc>
          <w:tcPr>
            <w:tcW w:w="1122" w:type="dxa"/>
            <w:vMerge w:val="continue"/>
            <w:noWrap w:val="0"/>
            <w:vAlign w:val="center"/>
          </w:tcPr>
          <w:p w14:paraId="7A8EB804">
            <w:pPr>
              <w:adjustRightInd w:val="0"/>
              <w:snapToGrid w:val="0"/>
              <w:jc w:val="center"/>
              <w:rPr>
                <w:rFonts w:hint="eastAsia" w:ascii="Times New Roman" w:hAnsi="Times New Roman" w:eastAsia="宋体" w:cs="Times New Roman"/>
                <w:color w:val="auto"/>
                <w:kern w:val="0"/>
                <w:szCs w:val="21"/>
                <w:highlight w:val="none"/>
                <w:lang w:val="en-US" w:eastAsia="zh-CN"/>
              </w:rPr>
            </w:pPr>
          </w:p>
        </w:tc>
        <w:tc>
          <w:tcPr>
            <w:tcW w:w="1633" w:type="dxa"/>
            <w:noWrap w:val="0"/>
            <w:vAlign w:val="center"/>
          </w:tcPr>
          <w:p w14:paraId="66FB7CDF">
            <w:pPr>
              <w:ind w:left="-105" w:leftChars="-50" w:right="-105" w:rightChars="-5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厂界</w:t>
            </w:r>
            <w:r>
              <w:rPr>
                <w:rFonts w:hint="default" w:ascii="Times New Roman" w:hAnsi="Times New Roman" w:eastAsia="宋体" w:cs="Times New Roman"/>
                <w:color w:val="auto"/>
                <w:kern w:val="0"/>
                <w:szCs w:val="21"/>
                <w:highlight w:val="none"/>
              </w:rPr>
              <w:t>下风向4</w:t>
            </w:r>
            <w:r>
              <w:rPr>
                <w:rFonts w:hint="default" w:ascii="Times New Roman" w:hAnsi="Times New Roman" w:eastAsia="宋体" w:cs="Times New Roman"/>
                <w:color w:val="auto"/>
                <w:kern w:val="0"/>
                <w:szCs w:val="21"/>
                <w:highlight w:val="none"/>
                <w:vertAlign w:val="superscript"/>
              </w:rPr>
              <w:t>#</w:t>
            </w:r>
          </w:p>
        </w:tc>
        <w:tc>
          <w:tcPr>
            <w:tcW w:w="1131" w:type="dxa"/>
            <w:noWrap w:val="0"/>
            <w:vAlign w:val="center"/>
          </w:tcPr>
          <w:p w14:paraId="35D0094D">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eastAsia"/>
                <w:color w:val="auto"/>
                <w:highlight w:val="none"/>
                <w:lang w:val="en-US" w:eastAsia="zh-CN"/>
              </w:rPr>
            </w:pPr>
            <w:r>
              <w:rPr>
                <w:rFonts w:hint="default" w:ascii="宋体" w:hAnsi="宋体" w:eastAsia="宋体" w:cs="宋体"/>
                <w:color w:val="auto"/>
                <w:kern w:val="0"/>
                <w:szCs w:val="21"/>
                <w:highlight w:val="none"/>
                <w:lang w:val="en-US" w:eastAsia="zh-CN"/>
              </w:rPr>
              <w:t>完好无破损</w:t>
            </w:r>
          </w:p>
        </w:tc>
        <w:tc>
          <w:tcPr>
            <w:tcW w:w="737" w:type="dxa"/>
            <w:noWrap w:val="0"/>
            <w:vAlign w:val="center"/>
          </w:tcPr>
          <w:p w14:paraId="3AECF854">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326</w:t>
            </w:r>
          </w:p>
        </w:tc>
        <w:tc>
          <w:tcPr>
            <w:tcW w:w="737" w:type="dxa"/>
            <w:noWrap w:val="0"/>
            <w:vAlign w:val="center"/>
          </w:tcPr>
          <w:p w14:paraId="4016BE67">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314</w:t>
            </w:r>
          </w:p>
        </w:tc>
        <w:tc>
          <w:tcPr>
            <w:tcW w:w="737" w:type="dxa"/>
            <w:noWrap w:val="0"/>
            <w:vAlign w:val="center"/>
          </w:tcPr>
          <w:p w14:paraId="1F3CFF89">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306</w:t>
            </w:r>
          </w:p>
        </w:tc>
        <w:tc>
          <w:tcPr>
            <w:tcW w:w="737" w:type="dxa"/>
            <w:noWrap w:val="0"/>
            <w:vAlign w:val="center"/>
          </w:tcPr>
          <w:p w14:paraId="7768CF2D">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306</w:t>
            </w:r>
          </w:p>
        </w:tc>
        <w:tc>
          <w:tcPr>
            <w:tcW w:w="908" w:type="dxa"/>
            <w:vMerge w:val="continue"/>
            <w:noWrap w:val="0"/>
            <w:vAlign w:val="center"/>
          </w:tcPr>
          <w:p w14:paraId="4ADD0C78">
            <w:pPr>
              <w:jc w:val="center"/>
              <w:rPr>
                <w:rFonts w:hint="default" w:ascii="Times New Roman" w:hAnsi="Times New Roman" w:eastAsia="宋体" w:cs="Times New Roman"/>
                <w:color w:val="auto"/>
                <w:kern w:val="0"/>
                <w:szCs w:val="21"/>
                <w:highlight w:val="none"/>
                <w:lang w:val="en-US" w:eastAsia="zh-CN"/>
              </w:rPr>
            </w:pPr>
          </w:p>
        </w:tc>
      </w:tr>
      <w:tr w14:paraId="5BCD9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9" w:type="dxa"/>
            <w:vMerge w:val="continue"/>
            <w:noWrap w:val="0"/>
            <w:vAlign w:val="center"/>
          </w:tcPr>
          <w:p w14:paraId="40E2C6D5">
            <w:pPr>
              <w:adjustRightInd w:val="0"/>
              <w:snapToGrid w:val="0"/>
              <w:jc w:val="center"/>
              <w:rPr>
                <w:rFonts w:hint="eastAsia" w:ascii="Times New Roman" w:hAnsi="Times New Roman" w:eastAsia="宋体" w:cs="Times New Roman"/>
                <w:kern w:val="0"/>
                <w:szCs w:val="21"/>
                <w:highlight w:val="none"/>
                <w:lang w:val="en-US" w:eastAsia="zh-CN"/>
              </w:rPr>
            </w:pPr>
          </w:p>
        </w:tc>
        <w:tc>
          <w:tcPr>
            <w:tcW w:w="1122" w:type="dxa"/>
            <w:vMerge w:val="continue"/>
            <w:noWrap w:val="0"/>
            <w:vAlign w:val="center"/>
          </w:tcPr>
          <w:p w14:paraId="33E33395">
            <w:pPr>
              <w:adjustRightInd w:val="0"/>
              <w:snapToGrid w:val="0"/>
              <w:jc w:val="center"/>
              <w:rPr>
                <w:rFonts w:hint="eastAsia" w:ascii="Times New Roman" w:hAnsi="Times New Roman" w:eastAsia="宋体" w:cs="Times New Roman"/>
                <w:color w:val="auto"/>
                <w:kern w:val="0"/>
                <w:szCs w:val="21"/>
                <w:highlight w:val="none"/>
                <w:lang w:val="en-US" w:eastAsia="zh-CN"/>
              </w:rPr>
            </w:pPr>
          </w:p>
        </w:tc>
        <w:tc>
          <w:tcPr>
            <w:tcW w:w="1633" w:type="dxa"/>
            <w:noWrap w:val="0"/>
            <w:vAlign w:val="center"/>
          </w:tcPr>
          <w:p w14:paraId="7425C887">
            <w:pPr>
              <w:ind w:left="-105" w:leftChars="-50" w:right="-105" w:rightChars="-50"/>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厂区内5</w:t>
            </w:r>
            <w:r>
              <w:rPr>
                <w:rFonts w:hint="default" w:ascii="Times New Roman" w:hAnsi="Times New Roman" w:eastAsia="宋体" w:cs="Times New Roman"/>
                <w:color w:val="auto"/>
                <w:kern w:val="0"/>
                <w:szCs w:val="21"/>
                <w:highlight w:val="none"/>
                <w:vertAlign w:val="superscript"/>
              </w:rPr>
              <w:t>#</w:t>
            </w:r>
          </w:p>
        </w:tc>
        <w:tc>
          <w:tcPr>
            <w:tcW w:w="1131" w:type="dxa"/>
            <w:noWrap w:val="0"/>
            <w:vAlign w:val="center"/>
          </w:tcPr>
          <w:p w14:paraId="54481B39">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完好无破损</w:t>
            </w:r>
          </w:p>
        </w:tc>
        <w:tc>
          <w:tcPr>
            <w:tcW w:w="737" w:type="dxa"/>
            <w:noWrap w:val="0"/>
            <w:vAlign w:val="center"/>
          </w:tcPr>
          <w:p w14:paraId="20E75986">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365</w:t>
            </w:r>
          </w:p>
        </w:tc>
        <w:tc>
          <w:tcPr>
            <w:tcW w:w="737" w:type="dxa"/>
            <w:noWrap w:val="0"/>
            <w:vAlign w:val="center"/>
          </w:tcPr>
          <w:p w14:paraId="6F3C8511">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383</w:t>
            </w:r>
          </w:p>
        </w:tc>
        <w:tc>
          <w:tcPr>
            <w:tcW w:w="737" w:type="dxa"/>
            <w:noWrap w:val="0"/>
            <w:vAlign w:val="center"/>
          </w:tcPr>
          <w:p w14:paraId="5E44D61F">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372</w:t>
            </w:r>
          </w:p>
        </w:tc>
        <w:tc>
          <w:tcPr>
            <w:tcW w:w="737" w:type="dxa"/>
            <w:noWrap w:val="0"/>
            <w:vAlign w:val="center"/>
          </w:tcPr>
          <w:p w14:paraId="48F4AA84">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390</w:t>
            </w:r>
          </w:p>
        </w:tc>
        <w:tc>
          <w:tcPr>
            <w:tcW w:w="908" w:type="dxa"/>
            <w:noWrap w:val="0"/>
            <w:vAlign w:val="center"/>
          </w:tcPr>
          <w:p w14:paraId="745A001B">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390</w:t>
            </w:r>
          </w:p>
        </w:tc>
      </w:tr>
      <w:tr w14:paraId="10F8F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9" w:type="dxa"/>
            <w:vMerge w:val="restart"/>
            <w:noWrap w:val="0"/>
            <w:vAlign w:val="center"/>
          </w:tcPr>
          <w:p w14:paraId="07A4752F">
            <w:pPr>
              <w:pStyle w:val="11"/>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硫酸雾</w:t>
            </w:r>
          </w:p>
        </w:tc>
        <w:tc>
          <w:tcPr>
            <w:tcW w:w="1122" w:type="dxa"/>
            <w:vMerge w:val="restart"/>
            <w:noWrap w:val="0"/>
            <w:vAlign w:val="center"/>
          </w:tcPr>
          <w:p w14:paraId="08AF3EE6">
            <w:pPr>
              <w:pStyle w:val="11"/>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2026.03.24</w:t>
            </w:r>
          </w:p>
        </w:tc>
        <w:tc>
          <w:tcPr>
            <w:tcW w:w="1633" w:type="dxa"/>
            <w:noWrap w:val="0"/>
            <w:vAlign w:val="center"/>
          </w:tcPr>
          <w:p w14:paraId="71FC6575">
            <w:pPr>
              <w:ind w:left="-105" w:leftChars="-50" w:right="-105" w:rightChars="-5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厂界</w:t>
            </w:r>
            <w:r>
              <w:rPr>
                <w:rFonts w:hint="default" w:ascii="Times New Roman" w:hAnsi="Times New Roman" w:eastAsia="宋体" w:cs="Times New Roman"/>
                <w:color w:val="auto"/>
                <w:kern w:val="0"/>
                <w:szCs w:val="21"/>
                <w:highlight w:val="none"/>
              </w:rPr>
              <w:t>上风向1</w:t>
            </w:r>
            <w:r>
              <w:rPr>
                <w:rFonts w:hint="default" w:ascii="Times New Roman" w:hAnsi="Times New Roman" w:eastAsia="宋体" w:cs="Times New Roman"/>
                <w:color w:val="auto"/>
                <w:kern w:val="0"/>
                <w:szCs w:val="21"/>
                <w:highlight w:val="none"/>
                <w:vertAlign w:val="superscript"/>
              </w:rPr>
              <w:t>#</w:t>
            </w:r>
          </w:p>
        </w:tc>
        <w:tc>
          <w:tcPr>
            <w:tcW w:w="1131" w:type="dxa"/>
            <w:noWrap w:val="0"/>
            <w:vAlign w:val="center"/>
          </w:tcPr>
          <w:p w14:paraId="7988F86A">
            <w:pPr>
              <w:ind w:left="-105" w:leftChars="-50" w:right="-105" w:rightChars="-5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密封完好</w:t>
            </w:r>
          </w:p>
          <w:p w14:paraId="7E42F1B7">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default" w:ascii="宋体" w:hAnsi="宋体" w:eastAsia="宋体" w:cs="宋体"/>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无漏液</w:t>
            </w:r>
          </w:p>
        </w:tc>
        <w:tc>
          <w:tcPr>
            <w:tcW w:w="737" w:type="dxa"/>
            <w:noWrap w:val="0"/>
            <w:vAlign w:val="center"/>
          </w:tcPr>
          <w:p w14:paraId="4F6DF385">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0.012</w:t>
            </w:r>
          </w:p>
        </w:tc>
        <w:tc>
          <w:tcPr>
            <w:tcW w:w="737" w:type="dxa"/>
            <w:noWrap w:val="0"/>
            <w:vAlign w:val="center"/>
          </w:tcPr>
          <w:p w14:paraId="5D38E258">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0.014</w:t>
            </w:r>
          </w:p>
        </w:tc>
        <w:tc>
          <w:tcPr>
            <w:tcW w:w="737" w:type="dxa"/>
            <w:noWrap w:val="0"/>
            <w:vAlign w:val="center"/>
          </w:tcPr>
          <w:p w14:paraId="1D054CFE">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0.010</w:t>
            </w:r>
          </w:p>
        </w:tc>
        <w:tc>
          <w:tcPr>
            <w:tcW w:w="737" w:type="dxa"/>
            <w:noWrap w:val="0"/>
            <w:vAlign w:val="center"/>
          </w:tcPr>
          <w:p w14:paraId="6E930265">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0.015</w:t>
            </w:r>
          </w:p>
        </w:tc>
        <w:tc>
          <w:tcPr>
            <w:tcW w:w="908" w:type="dxa"/>
            <w:noWrap w:val="0"/>
            <w:vAlign w:val="center"/>
          </w:tcPr>
          <w:p w14:paraId="71B0D0DB">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w:t>
            </w:r>
          </w:p>
        </w:tc>
      </w:tr>
      <w:tr w14:paraId="3266D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9" w:type="dxa"/>
            <w:vMerge w:val="continue"/>
            <w:noWrap w:val="0"/>
            <w:vAlign w:val="center"/>
          </w:tcPr>
          <w:p w14:paraId="2B610792">
            <w:pPr>
              <w:adjustRightInd w:val="0"/>
              <w:snapToGrid w:val="0"/>
              <w:jc w:val="center"/>
              <w:rPr>
                <w:rFonts w:hint="eastAsia" w:ascii="Times New Roman" w:hAnsi="Times New Roman" w:eastAsia="宋体" w:cs="Times New Roman"/>
                <w:kern w:val="0"/>
                <w:szCs w:val="21"/>
                <w:highlight w:val="none"/>
                <w:lang w:val="en-US" w:eastAsia="zh-CN"/>
              </w:rPr>
            </w:pPr>
          </w:p>
        </w:tc>
        <w:tc>
          <w:tcPr>
            <w:tcW w:w="1122" w:type="dxa"/>
            <w:vMerge w:val="continue"/>
            <w:noWrap w:val="0"/>
            <w:vAlign w:val="center"/>
          </w:tcPr>
          <w:p w14:paraId="1E91AA7F">
            <w:pPr>
              <w:adjustRightInd w:val="0"/>
              <w:snapToGrid w:val="0"/>
              <w:jc w:val="center"/>
              <w:rPr>
                <w:rFonts w:hint="eastAsia" w:ascii="Times New Roman" w:hAnsi="Times New Roman" w:eastAsia="宋体" w:cs="Times New Roman"/>
                <w:color w:val="auto"/>
                <w:kern w:val="0"/>
                <w:szCs w:val="21"/>
                <w:highlight w:val="none"/>
                <w:lang w:val="en-US" w:eastAsia="zh-CN"/>
              </w:rPr>
            </w:pPr>
          </w:p>
        </w:tc>
        <w:tc>
          <w:tcPr>
            <w:tcW w:w="1633" w:type="dxa"/>
            <w:noWrap w:val="0"/>
            <w:vAlign w:val="center"/>
          </w:tcPr>
          <w:p w14:paraId="4B13913F">
            <w:pPr>
              <w:ind w:left="-105" w:leftChars="-50" w:right="-105" w:rightChars="-5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厂界</w:t>
            </w:r>
            <w:r>
              <w:rPr>
                <w:rFonts w:hint="default" w:ascii="Times New Roman" w:hAnsi="Times New Roman" w:eastAsia="宋体" w:cs="Times New Roman"/>
                <w:color w:val="auto"/>
                <w:kern w:val="0"/>
                <w:szCs w:val="21"/>
                <w:highlight w:val="none"/>
              </w:rPr>
              <w:t>下风向2</w:t>
            </w:r>
            <w:r>
              <w:rPr>
                <w:rFonts w:hint="default" w:ascii="Times New Roman" w:hAnsi="Times New Roman" w:eastAsia="宋体" w:cs="Times New Roman"/>
                <w:color w:val="auto"/>
                <w:kern w:val="0"/>
                <w:szCs w:val="21"/>
                <w:highlight w:val="none"/>
                <w:vertAlign w:val="superscript"/>
              </w:rPr>
              <w:t>#</w:t>
            </w:r>
          </w:p>
        </w:tc>
        <w:tc>
          <w:tcPr>
            <w:tcW w:w="1131" w:type="dxa"/>
            <w:noWrap w:val="0"/>
            <w:vAlign w:val="center"/>
          </w:tcPr>
          <w:p w14:paraId="5E31C01E">
            <w:pPr>
              <w:ind w:left="-105" w:leftChars="-50" w:right="-105" w:rightChars="-5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密封完好</w:t>
            </w:r>
          </w:p>
          <w:p w14:paraId="4102FA96">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default" w:ascii="宋体" w:hAnsi="宋体" w:eastAsia="宋体" w:cs="宋体"/>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无漏液</w:t>
            </w:r>
          </w:p>
        </w:tc>
        <w:tc>
          <w:tcPr>
            <w:tcW w:w="737" w:type="dxa"/>
            <w:noWrap w:val="0"/>
            <w:vAlign w:val="center"/>
          </w:tcPr>
          <w:p w14:paraId="11B7E54F">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0.045</w:t>
            </w:r>
          </w:p>
        </w:tc>
        <w:tc>
          <w:tcPr>
            <w:tcW w:w="737" w:type="dxa"/>
            <w:noWrap w:val="0"/>
            <w:vAlign w:val="center"/>
          </w:tcPr>
          <w:p w14:paraId="28361A19">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0.042</w:t>
            </w:r>
          </w:p>
        </w:tc>
        <w:tc>
          <w:tcPr>
            <w:tcW w:w="737" w:type="dxa"/>
            <w:noWrap w:val="0"/>
            <w:vAlign w:val="center"/>
          </w:tcPr>
          <w:p w14:paraId="36D0A642">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0.039</w:t>
            </w:r>
          </w:p>
        </w:tc>
        <w:tc>
          <w:tcPr>
            <w:tcW w:w="737" w:type="dxa"/>
            <w:noWrap w:val="0"/>
            <w:vAlign w:val="center"/>
          </w:tcPr>
          <w:p w14:paraId="337B69DF">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0.041</w:t>
            </w:r>
          </w:p>
        </w:tc>
        <w:tc>
          <w:tcPr>
            <w:tcW w:w="908" w:type="dxa"/>
            <w:vMerge w:val="restart"/>
            <w:noWrap w:val="0"/>
            <w:vAlign w:val="center"/>
          </w:tcPr>
          <w:p w14:paraId="05744E38">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0.045</w:t>
            </w:r>
          </w:p>
        </w:tc>
      </w:tr>
      <w:tr w14:paraId="5423E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9" w:type="dxa"/>
            <w:vMerge w:val="continue"/>
            <w:noWrap w:val="0"/>
            <w:vAlign w:val="center"/>
          </w:tcPr>
          <w:p w14:paraId="03A76F3F">
            <w:pPr>
              <w:pStyle w:val="11"/>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eastAsia" w:ascii="Times New Roman" w:hAnsi="Times New Roman" w:eastAsia="宋体" w:cs="Times New Roman"/>
                <w:kern w:val="0"/>
                <w:szCs w:val="21"/>
                <w:highlight w:val="none"/>
                <w:lang w:val="en-US" w:eastAsia="zh-CN"/>
              </w:rPr>
            </w:pPr>
          </w:p>
        </w:tc>
        <w:tc>
          <w:tcPr>
            <w:tcW w:w="1122" w:type="dxa"/>
            <w:vMerge w:val="continue"/>
            <w:noWrap w:val="0"/>
            <w:vAlign w:val="center"/>
          </w:tcPr>
          <w:p w14:paraId="30BA92E3">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eastAsia" w:ascii="Times New Roman" w:hAnsi="Times New Roman" w:eastAsia="宋体" w:cs="Times New Roman"/>
                <w:color w:val="auto"/>
                <w:kern w:val="0"/>
                <w:szCs w:val="21"/>
                <w:highlight w:val="none"/>
                <w:lang w:val="en-US" w:eastAsia="zh-CN"/>
              </w:rPr>
            </w:pPr>
          </w:p>
        </w:tc>
        <w:tc>
          <w:tcPr>
            <w:tcW w:w="1633" w:type="dxa"/>
            <w:noWrap w:val="0"/>
            <w:vAlign w:val="center"/>
          </w:tcPr>
          <w:p w14:paraId="776CC81B">
            <w:pPr>
              <w:ind w:left="-105" w:leftChars="-50" w:right="-105" w:rightChars="-5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厂界</w:t>
            </w:r>
            <w:r>
              <w:rPr>
                <w:rFonts w:hint="default" w:ascii="Times New Roman" w:hAnsi="Times New Roman" w:eastAsia="宋体" w:cs="Times New Roman"/>
                <w:color w:val="auto"/>
                <w:kern w:val="0"/>
                <w:szCs w:val="21"/>
                <w:highlight w:val="none"/>
              </w:rPr>
              <w:t>下风向3</w:t>
            </w:r>
            <w:r>
              <w:rPr>
                <w:rFonts w:hint="default" w:ascii="Times New Roman" w:hAnsi="Times New Roman" w:eastAsia="宋体" w:cs="Times New Roman"/>
                <w:color w:val="auto"/>
                <w:kern w:val="0"/>
                <w:szCs w:val="21"/>
                <w:highlight w:val="none"/>
                <w:vertAlign w:val="superscript"/>
              </w:rPr>
              <w:t>#</w:t>
            </w:r>
          </w:p>
        </w:tc>
        <w:tc>
          <w:tcPr>
            <w:tcW w:w="1131" w:type="dxa"/>
            <w:noWrap w:val="0"/>
            <w:vAlign w:val="center"/>
          </w:tcPr>
          <w:p w14:paraId="1B91725B">
            <w:pPr>
              <w:ind w:left="-105" w:leftChars="-50" w:right="-105" w:rightChars="-5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密封完好</w:t>
            </w:r>
          </w:p>
          <w:p w14:paraId="7E0FA61E">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default" w:ascii="宋体" w:hAnsi="宋体" w:eastAsia="宋体" w:cs="宋体"/>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无漏液</w:t>
            </w:r>
          </w:p>
        </w:tc>
        <w:tc>
          <w:tcPr>
            <w:tcW w:w="737" w:type="dxa"/>
            <w:noWrap w:val="0"/>
            <w:vAlign w:val="center"/>
          </w:tcPr>
          <w:p w14:paraId="58493605">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0.042</w:t>
            </w:r>
          </w:p>
        </w:tc>
        <w:tc>
          <w:tcPr>
            <w:tcW w:w="737" w:type="dxa"/>
            <w:noWrap w:val="0"/>
            <w:vAlign w:val="center"/>
          </w:tcPr>
          <w:p w14:paraId="57071CCB">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0.041</w:t>
            </w:r>
          </w:p>
        </w:tc>
        <w:tc>
          <w:tcPr>
            <w:tcW w:w="737" w:type="dxa"/>
            <w:noWrap w:val="0"/>
            <w:vAlign w:val="center"/>
          </w:tcPr>
          <w:p w14:paraId="1A3BAED4">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0.041</w:t>
            </w:r>
          </w:p>
        </w:tc>
        <w:tc>
          <w:tcPr>
            <w:tcW w:w="737" w:type="dxa"/>
            <w:noWrap w:val="0"/>
            <w:vAlign w:val="center"/>
          </w:tcPr>
          <w:p w14:paraId="4B5938D9">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0.039</w:t>
            </w:r>
          </w:p>
        </w:tc>
        <w:tc>
          <w:tcPr>
            <w:tcW w:w="908" w:type="dxa"/>
            <w:vMerge w:val="continue"/>
            <w:noWrap w:val="0"/>
            <w:vAlign w:val="center"/>
          </w:tcPr>
          <w:p w14:paraId="7DD00AD7">
            <w:pPr>
              <w:jc w:val="center"/>
              <w:rPr>
                <w:rFonts w:hint="default" w:ascii="Times New Roman" w:hAnsi="Times New Roman" w:eastAsia="宋体" w:cs="Times New Roman"/>
                <w:color w:val="auto"/>
                <w:kern w:val="0"/>
                <w:szCs w:val="21"/>
                <w:highlight w:val="none"/>
                <w:lang w:val="en-US" w:eastAsia="zh-CN"/>
              </w:rPr>
            </w:pPr>
          </w:p>
        </w:tc>
      </w:tr>
      <w:tr w14:paraId="6617C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19" w:type="dxa"/>
            <w:vMerge w:val="continue"/>
            <w:noWrap w:val="0"/>
            <w:vAlign w:val="center"/>
          </w:tcPr>
          <w:p w14:paraId="38995B87">
            <w:pPr>
              <w:pStyle w:val="11"/>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eastAsia" w:ascii="Times New Roman" w:hAnsi="Times New Roman" w:eastAsia="宋体" w:cs="Times New Roman"/>
                <w:kern w:val="0"/>
                <w:szCs w:val="21"/>
                <w:highlight w:val="none"/>
                <w:lang w:val="en-US" w:eastAsia="zh-CN"/>
              </w:rPr>
            </w:pPr>
          </w:p>
        </w:tc>
        <w:tc>
          <w:tcPr>
            <w:tcW w:w="1122" w:type="dxa"/>
            <w:vMerge w:val="continue"/>
            <w:noWrap w:val="0"/>
            <w:vAlign w:val="center"/>
          </w:tcPr>
          <w:p w14:paraId="62996714">
            <w:pPr>
              <w:keepNext w:val="0"/>
              <w:keepLines w:val="0"/>
              <w:pageBreakBefore w:val="0"/>
              <w:widowControl w:val="0"/>
              <w:kinsoku/>
              <w:wordWrap/>
              <w:overflowPunct/>
              <w:topLinePunct w:val="0"/>
              <w:autoSpaceDE/>
              <w:autoSpaceDN/>
              <w:bidi w:val="0"/>
              <w:adjustRightInd/>
              <w:snapToGrid/>
              <w:spacing w:line="300" w:lineRule="exact"/>
              <w:ind w:left="-105" w:leftChars="-50" w:right="-105" w:rightChars="-50"/>
              <w:jc w:val="center"/>
              <w:textAlignment w:val="auto"/>
              <w:rPr>
                <w:rFonts w:hint="eastAsia" w:ascii="Times New Roman" w:hAnsi="Times New Roman" w:eastAsia="宋体" w:cs="Times New Roman"/>
                <w:color w:val="auto"/>
                <w:kern w:val="0"/>
                <w:szCs w:val="21"/>
                <w:highlight w:val="none"/>
                <w:lang w:val="en-US" w:eastAsia="zh-CN"/>
              </w:rPr>
            </w:pPr>
          </w:p>
        </w:tc>
        <w:tc>
          <w:tcPr>
            <w:tcW w:w="1633" w:type="dxa"/>
            <w:noWrap w:val="0"/>
            <w:vAlign w:val="center"/>
          </w:tcPr>
          <w:p w14:paraId="44DE01BF">
            <w:pPr>
              <w:ind w:left="-105" w:leftChars="-50" w:right="-105" w:rightChars="-5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厂界</w:t>
            </w:r>
            <w:r>
              <w:rPr>
                <w:rFonts w:hint="default" w:ascii="Times New Roman" w:hAnsi="Times New Roman" w:eastAsia="宋体" w:cs="Times New Roman"/>
                <w:color w:val="auto"/>
                <w:kern w:val="0"/>
                <w:szCs w:val="21"/>
                <w:highlight w:val="none"/>
              </w:rPr>
              <w:t>下风向4</w:t>
            </w:r>
            <w:r>
              <w:rPr>
                <w:rFonts w:hint="default" w:ascii="Times New Roman" w:hAnsi="Times New Roman" w:eastAsia="宋体" w:cs="Times New Roman"/>
                <w:color w:val="auto"/>
                <w:kern w:val="0"/>
                <w:szCs w:val="21"/>
                <w:highlight w:val="none"/>
                <w:vertAlign w:val="superscript"/>
              </w:rPr>
              <w:t>#</w:t>
            </w:r>
          </w:p>
        </w:tc>
        <w:tc>
          <w:tcPr>
            <w:tcW w:w="1131" w:type="dxa"/>
            <w:noWrap w:val="0"/>
            <w:vAlign w:val="center"/>
          </w:tcPr>
          <w:p w14:paraId="209EE554">
            <w:pPr>
              <w:ind w:left="-105" w:leftChars="-50" w:right="-105" w:rightChars="-50"/>
              <w:jc w:val="center"/>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密封完好</w:t>
            </w:r>
          </w:p>
          <w:p w14:paraId="28D201B5">
            <w:pPr>
              <w:keepNext w:val="0"/>
              <w:keepLines w:val="0"/>
              <w:pageBreakBefore w:val="0"/>
              <w:widowControl w:val="0"/>
              <w:kinsoku/>
              <w:wordWrap/>
              <w:overflowPunct/>
              <w:topLinePunct w:val="0"/>
              <w:autoSpaceDE/>
              <w:autoSpaceDN/>
              <w:bidi w:val="0"/>
              <w:adjustRightInd/>
              <w:snapToGrid/>
              <w:ind w:left="-105" w:leftChars="-50" w:right="-105" w:rightChars="-50"/>
              <w:jc w:val="center"/>
              <w:textAlignment w:val="auto"/>
              <w:rPr>
                <w:rFonts w:hint="default" w:ascii="宋体" w:hAnsi="宋体" w:eastAsia="宋体" w:cs="宋体"/>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无漏液</w:t>
            </w:r>
          </w:p>
        </w:tc>
        <w:tc>
          <w:tcPr>
            <w:tcW w:w="737" w:type="dxa"/>
            <w:noWrap w:val="0"/>
            <w:vAlign w:val="center"/>
          </w:tcPr>
          <w:p w14:paraId="48E11F32">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0.038</w:t>
            </w:r>
          </w:p>
        </w:tc>
        <w:tc>
          <w:tcPr>
            <w:tcW w:w="737" w:type="dxa"/>
            <w:noWrap w:val="0"/>
            <w:vAlign w:val="center"/>
          </w:tcPr>
          <w:p w14:paraId="0D5F926B">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0.041</w:t>
            </w:r>
          </w:p>
        </w:tc>
        <w:tc>
          <w:tcPr>
            <w:tcW w:w="737" w:type="dxa"/>
            <w:noWrap w:val="0"/>
            <w:vAlign w:val="center"/>
          </w:tcPr>
          <w:p w14:paraId="2FD864F1">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0.041</w:t>
            </w:r>
          </w:p>
        </w:tc>
        <w:tc>
          <w:tcPr>
            <w:tcW w:w="737" w:type="dxa"/>
            <w:noWrap w:val="0"/>
            <w:vAlign w:val="center"/>
          </w:tcPr>
          <w:p w14:paraId="6093637A">
            <w:pPr>
              <w:jc w:val="center"/>
              <w:rPr>
                <w:rFonts w:hint="default"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0.036</w:t>
            </w:r>
          </w:p>
        </w:tc>
        <w:tc>
          <w:tcPr>
            <w:tcW w:w="908" w:type="dxa"/>
            <w:vMerge w:val="continue"/>
            <w:noWrap w:val="0"/>
            <w:vAlign w:val="center"/>
          </w:tcPr>
          <w:p w14:paraId="5F29793E">
            <w:pPr>
              <w:jc w:val="center"/>
              <w:rPr>
                <w:rFonts w:hint="default" w:ascii="Times New Roman" w:hAnsi="Times New Roman" w:eastAsia="宋体" w:cs="Times New Roman"/>
                <w:color w:val="auto"/>
                <w:kern w:val="0"/>
                <w:szCs w:val="21"/>
                <w:highlight w:val="none"/>
                <w:lang w:val="en-US" w:eastAsia="zh-CN"/>
              </w:rPr>
            </w:pPr>
          </w:p>
        </w:tc>
      </w:tr>
      <w:tr w14:paraId="43949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761" w:type="dxa"/>
            <w:gridSpan w:val="9"/>
            <w:noWrap w:val="0"/>
            <w:vAlign w:val="center"/>
          </w:tcPr>
          <w:p w14:paraId="507B3F63">
            <w:pPr>
              <w:jc w:val="left"/>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备注：</w:t>
            </w:r>
            <w:r>
              <w:rPr>
                <w:rFonts w:hint="default" w:ascii="Times New Roman" w:hAnsi="Times New Roman" w:eastAsia="宋体" w:cs="Times New Roman"/>
                <w:color w:val="auto"/>
                <w:kern w:val="0"/>
                <w:szCs w:val="21"/>
                <w:highlight w:val="none"/>
                <w:lang w:val="en-US" w:eastAsia="zh-CN"/>
              </w:rPr>
              <w:t>以上数据仅对本次检测负责。</w:t>
            </w:r>
          </w:p>
        </w:tc>
      </w:tr>
    </w:tbl>
    <w:p w14:paraId="304A18F1">
      <w:pPr>
        <w:pStyle w:val="9"/>
        <w:spacing w:line="460" w:lineRule="exact"/>
        <w:ind w:firstLine="520"/>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w:t>
      </w:r>
      <w:r>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2</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）有组织废气</w:t>
      </w:r>
    </w:p>
    <w:p w14:paraId="6E66F243">
      <w:pPr>
        <w:pStyle w:val="52"/>
        <w:tabs>
          <w:tab w:val="left" w:pos="1221"/>
        </w:tabs>
        <w:kinsoku/>
        <w:autoSpaceDE/>
        <w:autoSpaceDN/>
        <w:adjustRightInd/>
        <w:spacing w:line="480" w:lineRule="exact"/>
        <w:ind w:left="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eastAsia="宋体" w:cs="Times New Roman"/>
          <w:bCs/>
          <w:color w:val="auto"/>
          <w:sz w:val="24"/>
          <w:szCs w:val="24"/>
          <w:highlight w:val="none"/>
          <w:lang w:val="en-US" w:eastAsia="zh-CN"/>
        </w:rPr>
        <w:t>验收</w:t>
      </w:r>
      <w:r>
        <w:rPr>
          <w:rFonts w:hint="eastAsia" w:cs="Times New Roman"/>
          <w:bCs/>
          <w:color w:val="auto"/>
          <w:sz w:val="24"/>
          <w:szCs w:val="24"/>
          <w:highlight w:val="none"/>
          <w:lang w:val="en-US" w:eastAsia="zh-CN"/>
        </w:rPr>
        <w:t>检测</w:t>
      </w:r>
      <w:r>
        <w:rPr>
          <w:rFonts w:hint="eastAsia" w:eastAsia="宋体" w:cs="Times New Roman"/>
          <w:bCs/>
          <w:color w:val="auto"/>
          <w:sz w:val="24"/>
          <w:szCs w:val="24"/>
          <w:highlight w:val="none"/>
          <w:lang w:val="en-US" w:eastAsia="zh-CN"/>
        </w:rPr>
        <w:t>期间</w:t>
      </w:r>
      <w:r>
        <w:rPr>
          <w:rFonts w:hint="default" w:ascii="Times New Roman" w:hAnsi="Times New Roman" w:eastAsia="宋体" w:cs="Times New Roman"/>
          <w:bCs/>
          <w:color w:val="auto"/>
          <w:sz w:val="24"/>
          <w:szCs w:val="24"/>
          <w:highlight w:val="none"/>
          <w:lang w:val="en-US" w:eastAsia="zh-CN"/>
        </w:rPr>
        <w:t>，</w:t>
      </w:r>
      <w:r>
        <w:rPr>
          <w:rFonts w:hint="eastAsia" w:cs="Times New Roman"/>
          <w:color w:val="auto"/>
          <w:spacing w:val="2"/>
          <w:sz w:val="24"/>
          <w:szCs w:val="24"/>
          <w:highlight w:val="none"/>
          <w:lang w:val="en-US" w:eastAsia="zh-CN"/>
        </w:rPr>
        <w:t>抛丸废气</w:t>
      </w:r>
      <w:r>
        <w:rPr>
          <w:rFonts w:hint="eastAsia" w:ascii="Times New Roman" w:hAnsi="Times New Roman" w:cs="Times New Roman" w:eastAsiaTheme="minorEastAsia"/>
          <w:bCs/>
          <w:color w:val="auto"/>
          <w:sz w:val="24"/>
          <w:szCs w:val="24"/>
          <w:highlight w:val="none"/>
          <w:lang w:val="en-US" w:eastAsia="zh-CN"/>
        </w:rPr>
        <w:t>排放口</w:t>
      </w:r>
      <w:r>
        <w:rPr>
          <w:rFonts w:hint="eastAsia" w:ascii="Times New Roman" w:hAnsi="Times New Roman" w:cs="Times New Roman"/>
          <w:color w:val="auto"/>
          <w:sz w:val="24"/>
          <w:szCs w:val="24"/>
          <w:highlight w:val="none"/>
          <w:lang w:val="en-US" w:eastAsia="zh-CN"/>
        </w:rPr>
        <w:t>颗粒物</w:t>
      </w:r>
      <w:r>
        <w:rPr>
          <w:rFonts w:hint="eastAsia" w:cs="Times New Roman"/>
          <w:color w:val="auto"/>
          <w:sz w:val="24"/>
          <w:szCs w:val="24"/>
          <w:highlight w:val="none"/>
          <w:lang w:val="en-US" w:eastAsia="zh-CN"/>
        </w:rPr>
        <w:t>最大</w:t>
      </w:r>
      <w:r>
        <w:rPr>
          <w:rFonts w:hint="eastAsia" w:ascii="Times New Roman" w:hAnsi="Times New Roman" w:cs="Times New Roman"/>
          <w:color w:val="auto"/>
          <w:sz w:val="24"/>
          <w:szCs w:val="24"/>
          <w:highlight w:val="none"/>
          <w:lang w:val="en-US" w:eastAsia="zh-CN"/>
        </w:rPr>
        <w:t>排放浓度</w:t>
      </w:r>
      <w:r>
        <w:rPr>
          <w:rFonts w:hint="eastAsia" w:cs="Times New Roman"/>
          <w:color w:val="auto"/>
          <w:sz w:val="24"/>
          <w:szCs w:val="24"/>
          <w:highlight w:val="none"/>
          <w:lang w:val="en-US" w:eastAsia="zh-CN"/>
        </w:rPr>
        <w:t>2.9</w:t>
      </w:r>
      <w:r>
        <w:rPr>
          <w:rFonts w:hint="eastAsia" w:ascii="Times New Roman" w:hAnsi="Times New Roman" w:cs="Times New Roman"/>
          <w:color w:val="auto"/>
          <w:sz w:val="24"/>
          <w:szCs w:val="24"/>
          <w:highlight w:val="none"/>
          <w:lang w:val="en-US" w:eastAsia="zh-CN"/>
        </w:rPr>
        <w:t>mg/m</w:t>
      </w:r>
      <w:r>
        <w:rPr>
          <w:rFonts w:hint="eastAsia" w:ascii="Times New Roman" w:hAnsi="Times New Roman" w:cs="Times New Roman"/>
          <w:color w:val="auto"/>
          <w:sz w:val="24"/>
          <w:szCs w:val="24"/>
          <w:highlight w:val="none"/>
          <w:vertAlign w:val="superscript"/>
          <w:lang w:val="en-US" w:eastAsia="zh-CN"/>
        </w:rPr>
        <w:t>3</w:t>
      </w:r>
      <w:r>
        <w:rPr>
          <w:rFonts w:hint="eastAsia"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vertAlign w:val="baseline"/>
          <w:lang w:val="en-US" w:eastAsia="zh-CN"/>
        </w:rPr>
        <w:t>满足</w:t>
      </w:r>
      <w:r>
        <w:rPr>
          <w:rFonts w:hint="default" w:ascii="Times New Roman" w:hAnsi="Times New Roman" w:eastAsia="宋体" w:cs="Times New Roman"/>
          <w:color w:val="auto"/>
          <w:spacing w:val="5"/>
          <w:sz w:val="24"/>
          <w:szCs w:val="24"/>
          <w:highlight w:val="none"/>
        </w:rPr>
        <w:t>《钢铁工业大气污染物超低排放标准》（DB13/2169-2018）表1热处理炉、拉矫、精整、抛丸、修磨、焊接机及其他生产设施颗粒物排放限值（</w:t>
      </w:r>
      <w:r>
        <w:rPr>
          <w:rFonts w:hint="eastAsia" w:ascii="Times New Roman" w:hAnsi="Times New Roman" w:eastAsia="宋体" w:cs="Times New Roman"/>
          <w:color w:val="auto"/>
          <w:spacing w:val="5"/>
          <w:sz w:val="24"/>
          <w:szCs w:val="24"/>
          <w:highlight w:val="none"/>
          <w:lang w:val="en-US" w:eastAsia="zh-CN"/>
        </w:rPr>
        <w:t>颗粒物</w:t>
      </w:r>
      <w:r>
        <w:rPr>
          <w:rFonts w:hint="default" w:ascii="Times New Roman" w:hAnsi="Times New Roman" w:eastAsia="宋体" w:cs="Times New Roman"/>
          <w:color w:val="auto"/>
          <w:spacing w:val="5"/>
          <w:sz w:val="24"/>
          <w:szCs w:val="24"/>
          <w:highlight w:val="none"/>
          <w:lang w:val="en-US" w:eastAsia="zh-CN"/>
        </w:rPr>
        <w:t>≤</w:t>
      </w:r>
      <w:r>
        <w:rPr>
          <w:rFonts w:hint="eastAsia" w:ascii="Times New Roman" w:hAnsi="Times New Roman" w:eastAsia="宋体" w:cs="Times New Roman"/>
          <w:color w:val="auto"/>
          <w:spacing w:val="5"/>
          <w:sz w:val="24"/>
          <w:szCs w:val="24"/>
          <w:highlight w:val="none"/>
          <w:lang w:val="en-US" w:eastAsia="zh-CN"/>
        </w:rPr>
        <w:t>10</w:t>
      </w:r>
      <w:r>
        <w:rPr>
          <w:rFonts w:hint="default" w:ascii="Times New Roman" w:hAnsi="Times New Roman" w:eastAsia="宋体" w:cs="Times New Roman"/>
          <w:color w:val="auto"/>
          <w:spacing w:val="5"/>
          <w:sz w:val="24"/>
          <w:szCs w:val="24"/>
          <w:highlight w:val="none"/>
        </w:rPr>
        <w:t>mg/m</w:t>
      </w:r>
      <w:r>
        <w:rPr>
          <w:rFonts w:hint="default" w:ascii="Times New Roman" w:hAnsi="Times New Roman" w:eastAsia="宋体" w:cs="Times New Roman"/>
          <w:color w:val="auto"/>
          <w:spacing w:val="5"/>
          <w:sz w:val="24"/>
          <w:szCs w:val="24"/>
          <w:highlight w:val="none"/>
          <w:vertAlign w:val="superscript"/>
        </w:rPr>
        <w:t>3</w:t>
      </w:r>
      <w:r>
        <w:rPr>
          <w:rFonts w:hint="default" w:ascii="Times New Roman" w:hAnsi="Times New Roman" w:eastAsia="宋体" w:cs="Times New Roman"/>
          <w:color w:val="auto"/>
          <w:spacing w:val="5"/>
          <w:sz w:val="24"/>
          <w:szCs w:val="24"/>
          <w:highlight w:val="none"/>
        </w:rPr>
        <w:t>）</w:t>
      </w:r>
      <w:r>
        <w:rPr>
          <w:rFonts w:hint="eastAsia" w:ascii="Times New Roman" w:hAnsi="Times New Roman" w:cs="Times New Roman"/>
          <w:color w:val="auto"/>
          <w:sz w:val="24"/>
          <w:szCs w:val="24"/>
          <w:highlight w:val="none"/>
          <w:vertAlign w:val="baseline"/>
          <w:lang w:val="en-US" w:eastAsia="zh-CN"/>
        </w:rPr>
        <w:t>。</w:t>
      </w:r>
      <w:r>
        <w:rPr>
          <w:rFonts w:hint="default" w:ascii="Times New Roman" w:hAnsi="Times New Roman" w:eastAsia="宋体" w:cs="Times New Roman"/>
          <w:bCs/>
          <w:color w:val="auto"/>
          <w:kern w:val="0"/>
          <w:sz w:val="24"/>
          <w:szCs w:val="24"/>
          <w:highlight w:val="none"/>
          <w:lang w:val="en-US" w:eastAsia="zh-CN"/>
        </w:rPr>
        <w:t>阳极氧化废气</w:t>
      </w:r>
      <w:r>
        <w:rPr>
          <w:rFonts w:hint="eastAsia" w:eastAsia="宋体" w:cs="Times New Roman"/>
          <w:bCs/>
          <w:color w:val="auto"/>
          <w:kern w:val="0"/>
          <w:sz w:val="24"/>
          <w:szCs w:val="24"/>
          <w:highlight w:val="none"/>
          <w:lang w:val="en-US" w:eastAsia="zh-CN"/>
        </w:rPr>
        <w:t>硫酸雾</w:t>
      </w:r>
      <w:r>
        <w:rPr>
          <w:rFonts w:hint="eastAsia" w:cs="Times New Roman"/>
          <w:color w:val="auto"/>
          <w:sz w:val="24"/>
          <w:szCs w:val="24"/>
          <w:highlight w:val="none"/>
          <w:lang w:val="en-US" w:eastAsia="zh-CN"/>
        </w:rPr>
        <w:t>最大</w:t>
      </w:r>
      <w:r>
        <w:rPr>
          <w:rFonts w:hint="eastAsia" w:ascii="Times New Roman" w:hAnsi="Times New Roman" w:cs="Times New Roman"/>
          <w:color w:val="auto"/>
          <w:sz w:val="24"/>
          <w:szCs w:val="24"/>
          <w:highlight w:val="none"/>
          <w:lang w:val="en-US" w:eastAsia="zh-CN"/>
        </w:rPr>
        <w:t>排放浓度</w:t>
      </w:r>
      <w:r>
        <w:rPr>
          <w:rFonts w:hint="eastAsia" w:cs="Times New Roman"/>
          <w:color w:val="auto"/>
          <w:sz w:val="24"/>
          <w:szCs w:val="24"/>
          <w:highlight w:val="none"/>
          <w:lang w:val="en-US" w:eastAsia="zh-CN"/>
        </w:rPr>
        <w:t>2.24</w:t>
      </w:r>
      <w:r>
        <w:rPr>
          <w:rFonts w:hint="eastAsia" w:ascii="Times New Roman" w:hAnsi="Times New Roman" w:cs="Times New Roman"/>
          <w:color w:val="auto"/>
          <w:sz w:val="24"/>
          <w:szCs w:val="24"/>
          <w:highlight w:val="none"/>
          <w:lang w:val="en-US" w:eastAsia="zh-CN"/>
        </w:rPr>
        <w:t>mg/m</w:t>
      </w:r>
      <w:r>
        <w:rPr>
          <w:rFonts w:hint="eastAsia" w:ascii="Times New Roman" w:hAnsi="Times New Roman" w:cs="Times New Roman"/>
          <w:color w:val="auto"/>
          <w:sz w:val="24"/>
          <w:szCs w:val="24"/>
          <w:highlight w:val="none"/>
          <w:vertAlign w:val="superscript"/>
          <w:lang w:val="en-US" w:eastAsia="zh-CN"/>
        </w:rPr>
        <w:t>3</w:t>
      </w:r>
      <w:r>
        <w:rPr>
          <w:rFonts w:hint="eastAsia" w:ascii="Times New Roman" w:hAnsi="Times New Roman" w:cs="Times New Roman"/>
          <w:color w:val="auto"/>
          <w:sz w:val="24"/>
          <w:szCs w:val="24"/>
          <w:highlight w:val="none"/>
          <w:vertAlign w:val="baseline"/>
          <w:lang w:val="en-US" w:eastAsia="zh-CN"/>
        </w:rPr>
        <w:t>，</w:t>
      </w:r>
      <w:r>
        <w:rPr>
          <w:rFonts w:hint="eastAsia" w:cs="Times New Roman"/>
          <w:color w:val="auto"/>
          <w:sz w:val="24"/>
          <w:szCs w:val="24"/>
          <w:highlight w:val="none"/>
          <w:vertAlign w:val="baseline"/>
          <w:lang w:val="en-US" w:eastAsia="zh-CN"/>
        </w:rPr>
        <w:t>满足</w:t>
      </w:r>
      <w:r>
        <w:rPr>
          <w:rFonts w:hint="default" w:ascii="Times New Roman" w:hAnsi="Times New Roman" w:eastAsia="宋体" w:cs="Times New Roman"/>
          <w:bCs/>
          <w:color w:val="auto"/>
          <w:kern w:val="0"/>
          <w:sz w:val="24"/>
          <w:szCs w:val="24"/>
          <w:highlight w:val="none"/>
          <w:lang w:val="en-US" w:eastAsia="zh-CN"/>
        </w:rPr>
        <w:t>《河北省十一个行业重污染天气应急减排措施制定技术指南》中金属表面处理及热处理加工行业排放限值</w:t>
      </w:r>
      <w:r>
        <w:rPr>
          <w:rFonts w:hint="default" w:ascii="Times New Roman" w:hAnsi="Times New Roman" w:eastAsia="宋体" w:cs="Times New Roman"/>
          <w:color w:val="auto"/>
          <w:spacing w:val="5"/>
          <w:sz w:val="24"/>
          <w:szCs w:val="24"/>
          <w:highlight w:val="none"/>
        </w:rPr>
        <w:t>（</w:t>
      </w:r>
      <w:r>
        <w:rPr>
          <w:rFonts w:hint="eastAsia" w:ascii="Times New Roman" w:hAnsi="Times New Roman" w:eastAsia="宋体" w:cs="Times New Roman"/>
          <w:color w:val="auto"/>
          <w:spacing w:val="5"/>
          <w:sz w:val="24"/>
          <w:szCs w:val="24"/>
          <w:highlight w:val="none"/>
          <w:lang w:val="en-US" w:eastAsia="zh-CN"/>
        </w:rPr>
        <w:t>硫酸雾</w:t>
      </w:r>
      <w:r>
        <w:rPr>
          <w:rFonts w:hint="default" w:ascii="Times New Roman" w:hAnsi="Times New Roman" w:eastAsia="宋体" w:cs="Times New Roman"/>
          <w:color w:val="auto"/>
          <w:spacing w:val="5"/>
          <w:sz w:val="24"/>
          <w:szCs w:val="24"/>
          <w:highlight w:val="none"/>
          <w:lang w:val="en-US" w:eastAsia="zh-CN"/>
        </w:rPr>
        <w:t>≤</w:t>
      </w:r>
      <w:r>
        <w:rPr>
          <w:rFonts w:hint="eastAsia" w:ascii="Times New Roman" w:hAnsi="Times New Roman" w:eastAsia="宋体" w:cs="Times New Roman"/>
          <w:color w:val="auto"/>
          <w:spacing w:val="5"/>
          <w:sz w:val="24"/>
          <w:szCs w:val="24"/>
          <w:highlight w:val="none"/>
          <w:lang w:val="en-US" w:eastAsia="zh-CN"/>
        </w:rPr>
        <w:t>10</w:t>
      </w:r>
      <w:r>
        <w:rPr>
          <w:rFonts w:hint="default" w:ascii="Times New Roman" w:hAnsi="Times New Roman" w:eastAsia="宋体" w:cs="Times New Roman"/>
          <w:color w:val="auto"/>
          <w:spacing w:val="5"/>
          <w:sz w:val="24"/>
          <w:szCs w:val="24"/>
          <w:highlight w:val="none"/>
        </w:rPr>
        <w:t>mg/m</w:t>
      </w:r>
      <w:r>
        <w:rPr>
          <w:rFonts w:hint="default" w:ascii="Times New Roman" w:hAnsi="Times New Roman" w:eastAsia="宋体" w:cs="Times New Roman"/>
          <w:color w:val="auto"/>
          <w:spacing w:val="5"/>
          <w:sz w:val="24"/>
          <w:szCs w:val="24"/>
          <w:highlight w:val="none"/>
          <w:vertAlign w:val="superscript"/>
        </w:rPr>
        <w:t>3</w:t>
      </w:r>
      <w:r>
        <w:rPr>
          <w:rFonts w:hint="default" w:ascii="Times New Roman" w:hAnsi="Times New Roman" w:eastAsia="宋体" w:cs="Times New Roman"/>
          <w:color w:val="auto"/>
          <w:spacing w:val="5"/>
          <w:sz w:val="24"/>
          <w:szCs w:val="24"/>
          <w:highlight w:val="none"/>
        </w:rPr>
        <w:t>）</w:t>
      </w:r>
    </w:p>
    <w:p w14:paraId="3BF47ACF">
      <w:pPr>
        <w:pStyle w:val="9"/>
        <w:spacing w:line="460" w:lineRule="exact"/>
        <w:ind w:firstLine="520"/>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w:t>
      </w:r>
      <w:r>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w:t>
      </w:r>
      <w:r>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无</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组织废气</w:t>
      </w:r>
    </w:p>
    <w:p w14:paraId="75AF2C3A">
      <w:pPr>
        <w:pStyle w:val="52"/>
        <w:tabs>
          <w:tab w:val="left" w:pos="1221"/>
        </w:tabs>
        <w:kinsoku/>
        <w:autoSpaceDE/>
        <w:autoSpaceDN/>
        <w:adjustRightInd/>
        <w:spacing w:line="480" w:lineRule="exact"/>
        <w:ind w:left="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eastAsia="宋体" w:cs="Times New Roman"/>
          <w:bCs/>
          <w:color w:val="auto"/>
          <w:sz w:val="24"/>
          <w:szCs w:val="24"/>
          <w:highlight w:val="none"/>
          <w:lang w:val="en-US" w:eastAsia="zh-CN"/>
        </w:rPr>
        <w:t>验收</w:t>
      </w:r>
      <w:r>
        <w:rPr>
          <w:rFonts w:hint="eastAsia" w:cs="Times New Roman"/>
          <w:bCs/>
          <w:color w:val="auto"/>
          <w:sz w:val="24"/>
          <w:szCs w:val="24"/>
          <w:highlight w:val="none"/>
          <w:lang w:val="en-US" w:eastAsia="zh-CN"/>
        </w:rPr>
        <w:t>检测</w:t>
      </w:r>
      <w:r>
        <w:rPr>
          <w:rFonts w:hint="eastAsia" w:eastAsia="宋体" w:cs="Times New Roman"/>
          <w:bCs/>
          <w:color w:val="auto"/>
          <w:sz w:val="24"/>
          <w:szCs w:val="24"/>
          <w:highlight w:val="none"/>
          <w:lang w:val="en-US" w:eastAsia="zh-CN"/>
        </w:rPr>
        <w:t>期间</w:t>
      </w:r>
      <w:r>
        <w:rPr>
          <w:rFonts w:hint="default" w:ascii="Times New Roman" w:hAnsi="Times New Roman" w:eastAsia="宋体" w:cs="Times New Roman"/>
          <w:bCs/>
          <w:color w:val="auto"/>
          <w:sz w:val="24"/>
          <w:szCs w:val="24"/>
          <w:highlight w:val="none"/>
          <w:lang w:val="en-US" w:eastAsia="zh-CN"/>
        </w:rPr>
        <w:t>，</w:t>
      </w:r>
      <w:r>
        <w:rPr>
          <w:rFonts w:hint="eastAsia" w:cs="Times New Roman"/>
          <w:bCs/>
          <w:color w:val="auto"/>
          <w:sz w:val="24"/>
          <w:szCs w:val="24"/>
          <w:highlight w:val="none"/>
          <w:lang w:val="en-US" w:eastAsia="zh-CN"/>
        </w:rPr>
        <w:t>厂界</w:t>
      </w:r>
      <w:r>
        <w:rPr>
          <w:rFonts w:hint="eastAsia" w:ascii="Times New Roman" w:hAnsi="Times New Roman" w:cs="Times New Roman"/>
          <w:color w:val="auto"/>
          <w:sz w:val="24"/>
          <w:szCs w:val="24"/>
          <w:highlight w:val="none"/>
          <w:lang w:val="en-US" w:eastAsia="zh-CN"/>
        </w:rPr>
        <w:t>颗粒物</w:t>
      </w:r>
      <w:r>
        <w:rPr>
          <w:rFonts w:hint="eastAsia" w:cs="Times New Roman"/>
          <w:color w:val="auto"/>
          <w:sz w:val="24"/>
          <w:szCs w:val="24"/>
          <w:highlight w:val="none"/>
          <w:lang w:val="en-US" w:eastAsia="zh-CN"/>
        </w:rPr>
        <w:t>无组织最大</w:t>
      </w:r>
      <w:r>
        <w:rPr>
          <w:rFonts w:hint="eastAsia" w:ascii="Times New Roman" w:hAnsi="Times New Roman" w:cs="Times New Roman"/>
          <w:color w:val="auto"/>
          <w:sz w:val="24"/>
          <w:szCs w:val="24"/>
          <w:highlight w:val="none"/>
          <w:lang w:val="en-US" w:eastAsia="zh-CN"/>
        </w:rPr>
        <w:t>排放浓度</w:t>
      </w:r>
      <w:r>
        <w:rPr>
          <w:rFonts w:hint="eastAsia" w:cs="Times New Roman"/>
          <w:color w:val="auto"/>
          <w:sz w:val="24"/>
          <w:szCs w:val="24"/>
          <w:highlight w:val="none"/>
          <w:lang w:val="en-US" w:eastAsia="zh-CN"/>
        </w:rPr>
        <w:t>0.337</w:t>
      </w:r>
      <w:r>
        <w:rPr>
          <w:rFonts w:hint="eastAsia" w:ascii="Times New Roman" w:hAnsi="Times New Roman" w:cs="Times New Roman"/>
          <w:color w:val="auto"/>
          <w:sz w:val="24"/>
          <w:szCs w:val="24"/>
          <w:highlight w:val="none"/>
          <w:lang w:val="en-US" w:eastAsia="zh-CN"/>
        </w:rPr>
        <w:t>mg/m</w:t>
      </w:r>
      <w:r>
        <w:rPr>
          <w:rFonts w:hint="eastAsia" w:ascii="Times New Roman" w:hAnsi="Times New Roman" w:cs="Times New Roman"/>
          <w:color w:val="auto"/>
          <w:sz w:val="24"/>
          <w:szCs w:val="24"/>
          <w:highlight w:val="none"/>
          <w:vertAlign w:val="superscript"/>
          <w:lang w:val="en-US" w:eastAsia="zh-CN"/>
        </w:rPr>
        <w:t>3</w:t>
      </w:r>
      <w:r>
        <w:rPr>
          <w:rFonts w:hint="eastAsia"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车间界</w:t>
      </w:r>
      <w:r>
        <w:rPr>
          <w:rFonts w:hint="eastAsia" w:ascii="Times New Roman" w:hAnsi="Times New Roman" w:cs="Times New Roman"/>
          <w:color w:val="auto"/>
          <w:sz w:val="24"/>
          <w:szCs w:val="24"/>
          <w:highlight w:val="none"/>
          <w:lang w:val="en-US" w:eastAsia="zh-CN"/>
        </w:rPr>
        <w:t>颗粒物</w:t>
      </w:r>
      <w:r>
        <w:rPr>
          <w:rFonts w:hint="eastAsia" w:cs="Times New Roman"/>
          <w:color w:val="auto"/>
          <w:sz w:val="24"/>
          <w:szCs w:val="24"/>
          <w:highlight w:val="none"/>
          <w:lang w:val="en-US" w:eastAsia="zh-CN"/>
        </w:rPr>
        <w:t>无组织最大</w:t>
      </w:r>
      <w:r>
        <w:rPr>
          <w:rFonts w:hint="eastAsia" w:ascii="Times New Roman" w:hAnsi="Times New Roman" w:cs="Times New Roman"/>
          <w:color w:val="auto"/>
          <w:sz w:val="24"/>
          <w:szCs w:val="24"/>
          <w:highlight w:val="none"/>
          <w:lang w:val="en-US" w:eastAsia="zh-CN"/>
        </w:rPr>
        <w:t>排放浓度</w:t>
      </w:r>
      <w:r>
        <w:rPr>
          <w:rFonts w:hint="eastAsia" w:cs="Times New Roman"/>
          <w:color w:val="auto"/>
          <w:sz w:val="24"/>
          <w:szCs w:val="24"/>
          <w:highlight w:val="none"/>
          <w:lang w:val="en-US" w:eastAsia="zh-CN"/>
        </w:rPr>
        <w:t>0.390</w:t>
      </w:r>
      <w:r>
        <w:rPr>
          <w:rFonts w:hint="eastAsia" w:ascii="Times New Roman" w:hAnsi="Times New Roman" w:cs="Times New Roman"/>
          <w:color w:val="auto"/>
          <w:sz w:val="24"/>
          <w:szCs w:val="24"/>
          <w:highlight w:val="none"/>
          <w:lang w:val="en-US" w:eastAsia="zh-CN"/>
        </w:rPr>
        <w:t>mg/m</w:t>
      </w:r>
      <w:r>
        <w:rPr>
          <w:rFonts w:hint="eastAsia" w:ascii="Times New Roman" w:hAnsi="Times New Roman" w:cs="Times New Roman"/>
          <w:color w:val="auto"/>
          <w:sz w:val="24"/>
          <w:szCs w:val="24"/>
          <w:highlight w:val="none"/>
          <w:vertAlign w:val="superscript"/>
          <w:lang w:val="en-US" w:eastAsia="zh-CN"/>
        </w:rPr>
        <w:t>3</w:t>
      </w:r>
      <w:r>
        <w:rPr>
          <w:rFonts w:hint="eastAsia" w:ascii="Times New Roman" w:hAnsi="Times New Roman" w:cs="Times New Roman"/>
          <w:color w:val="auto"/>
          <w:sz w:val="24"/>
          <w:szCs w:val="24"/>
          <w:highlight w:val="none"/>
          <w:vertAlign w:val="baseline"/>
          <w:lang w:val="en-US" w:eastAsia="zh-CN"/>
        </w:rPr>
        <w:t>满足</w:t>
      </w:r>
      <w:r>
        <w:rPr>
          <w:rFonts w:hint="default" w:ascii="Times New Roman" w:hAnsi="Times New Roman" w:eastAsia="宋体" w:cs="Times New Roman"/>
          <w:color w:val="auto"/>
          <w:spacing w:val="5"/>
          <w:sz w:val="24"/>
          <w:szCs w:val="24"/>
          <w:highlight w:val="none"/>
          <w:lang w:eastAsia="zh-CN"/>
        </w:rPr>
        <w:t>《钢铁工业大气污染物超低排放标准》（DB13/2169-2018）表5中</w:t>
      </w:r>
      <w:r>
        <w:rPr>
          <w:rFonts w:hint="eastAsia" w:cs="Times New Roman"/>
          <w:color w:val="auto"/>
          <w:spacing w:val="5"/>
          <w:sz w:val="24"/>
          <w:szCs w:val="24"/>
          <w:highlight w:val="none"/>
          <w:lang w:val="en-US" w:eastAsia="zh-CN"/>
        </w:rPr>
        <w:t>厂界</w:t>
      </w:r>
      <w:r>
        <w:rPr>
          <w:rFonts w:hint="default" w:ascii="Times New Roman" w:hAnsi="Times New Roman" w:eastAsia="宋体" w:cs="Times New Roman"/>
          <w:color w:val="auto"/>
          <w:spacing w:val="5"/>
          <w:sz w:val="24"/>
          <w:szCs w:val="24"/>
          <w:highlight w:val="none"/>
          <w:lang w:eastAsia="zh-CN"/>
        </w:rPr>
        <w:t>颗粒物排放浓度限值标准</w:t>
      </w:r>
      <w:r>
        <w:rPr>
          <w:rFonts w:hint="eastAsia" w:ascii="Times New Roman" w:hAnsi="Times New Roman" w:eastAsia="宋体" w:cs="Times New Roman"/>
          <w:color w:val="auto"/>
          <w:spacing w:val="5"/>
          <w:sz w:val="24"/>
          <w:szCs w:val="24"/>
          <w:highlight w:val="none"/>
          <w:lang w:eastAsia="zh-CN"/>
        </w:rPr>
        <w:t>（</w:t>
      </w:r>
      <w:r>
        <w:rPr>
          <w:rFonts w:hint="eastAsia" w:ascii="Times New Roman" w:hAnsi="Times New Roman" w:eastAsia="宋体" w:cs="Times New Roman"/>
          <w:color w:val="auto"/>
          <w:spacing w:val="5"/>
          <w:sz w:val="24"/>
          <w:szCs w:val="24"/>
          <w:highlight w:val="none"/>
          <w:lang w:val="en-US" w:eastAsia="zh-CN"/>
        </w:rPr>
        <w:t>1.0</w:t>
      </w:r>
      <w:r>
        <w:rPr>
          <w:rFonts w:hint="default" w:ascii="Times New Roman" w:hAnsi="Times New Roman" w:eastAsia="宋体" w:cs="Times New Roman"/>
          <w:color w:val="auto"/>
          <w:spacing w:val="5"/>
          <w:sz w:val="24"/>
          <w:szCs w:val="24"/>
          <w:highlight w:val="none"/>
        </w:rPr>
        <w:t>mg/m</w:t>
      </w:r>
      <w:r>
        <w:rPr>
          <w:rFonts w:hint="default" w:ascii="Times New Roman" w:hAnsi="Times New Roman" w:eastAsia="宋体" w:cs="Times New Roman"/>
          <w:color w:val="auto"/>
          <w:spacing w:val="5"/>
          <w:sz w:val="24"/>
          <w:szCs w:val="24"/>
          <w:highlight w:val="none"/>
          <w:vertAlign w:val="superscript"/>
        </w:rPr>
        <w:t>3</w:t>
      </w:r>
      <w:r>
        <w:rPr>
          <w:rFonts w:hint="eastAsia" w:ascii="Times New Roman" w:hAnsi="Times New Roman" w:eastAsia="宋体" w:cs="Times New Roman"/>
          <w:color w:val="auto"/>
          <w:spacing w:val="5"/>
          <w:sz w:val="24"/>
          <w:szCs w:val="24"/>
          <w:highlight w:val="none"/>
          <w:lang w:eastAsia="zh-CN"/>
        </w:rPr>
        <w:t>）</w:t>
      </w:r>
      <w:r>
        <w:rPr>
          <w:rFonts w:hint="eastAsia" w:cs="Times New Roman"/>
          <w:color w:val="auto"/>
          <w:spacing w:val="5"/>
          <w:sz w:val="24"/>
          <w:szCs w:val="24"/>
          <w:highlight w:val="none"/>
          <w:lang w:eastAsia="zh-CN"/>
        </w:rPr>
        <w:t>，</w:t>
      </w:r>
      <w:r>
        <w:rPr>
          <w:rFonts w:hint="eastAsia" w:cs="Times New Roman"/>
          <w:color w:val="auto"/>
          <w:spacing w:val="5"/>
          <w:sz w:val="24"/>
          <w:szCs w:val="24"/>
          <w:highlight w:val="none"/>
          <w:lang w:val="en-US" w:eastAsia="zh-CN"/>
        </w:rPr>
        <w:t>有厂房车间颗粒</w:t>
      </w:r>
      <w:r>
        <w:rPr>
          <w:rFonts w:hint="default" w:ascii="Times New Roman" w:hAnsi="Times New Roman" w:eastAsia="宋体" w:cs="Times New Roman"/>
          <w:color w:val="auto"/>
          <w:spacing w:val="5"/>
          <w:sz w:val="24"/>
          <w:szCs w:val="24"/>
          <w:highlight w:val="none"/>
          <w:lang w:eastAsia="zh-CN"/>
        </w:rPr>
        <w:t>浓度限值标准</w:t>
      </w:r>
      <w:r>
        <w:rPr>
          <w:rFonts w:hint="eastAsia" w:ascii="Times New Roman" w:hAnsi="Times New Roman" w:eastAsia="宋体" w:cs="Times New Roman"/>
          <w:color w:val="auto"/>
          <w:spacing w:val="5"/>
          <w:sz w:val="24"/>
          <w:szCs w:val="24"/>
          <w:highlight w:val="none"/>
          <w:lang w:eastAsia="zh-CN"/>
        </w:rPr>
        <w:t>（</w:t>
      </w:r>
      <w:r>
        <w:rPr>
          <w:rFonts w:hint="eastAsia" w:ascii="Times New Roman" w:hAnsi="Times New Roman" w:eastAsia="宋体" w:cs="Times New Roman"/>
          <w:color w:val="auto"/>
          <w:spacing w:val="5"/>
          <w:sz w:val="24"/>
          <w:szCs w:val="24"/>
          <w:highlight w:val="none"/>
          <w:lang w:val="en-US" w:eastAsia="zh-CN"/>
        </w:rPr>
        <w:t>8.0</w:t>
      </w:r>
      <w:r>
        <w:rPr>
          <w:rFonts w:hint="default" w:ascii="Times New Roman" w:hAnsi="Times New Roman" w:eastAsia="宋体" w:cs="Times New Roman"/>
          <w:color w:val="auto"/>
          <w:spacing w:val="5"/>
          <w:sz w:val="24"/>
          <w:szCs w:val="24"/>
          <w:highlight w:val="none"/>
        </w:rPr>
        <w:t>mg/m</w:t>
      </w:r>
      <w:r>
        <w:rPr>
          <w:rFonts w:hint="default" w:ascii="Times New Roman" w:hAnsi="Times New Roman" w:eastAsia="宋体" w:cs="Times New Roman"/>
          <w:color w:val="auto"/>
          <w:spacing w:val="5"/>
          <w:sz w:val="24"/>
          <w:szCs w:val="24"/>
          <w:highlight w:val="none"/>
          <w:vertAlign w:val="superscript"/>
        </w:rPr>
        <w:t>3</w:t>
      </w:r>
      <w:r>
        <w:rPr>
          <w:rFonts w:hint="eastAsia" w:ascii="Times New Roman" w:hAnsi="Times New Roman" w:eastAsia="宋体" w:cs="Times New Roman"/>
          <w:color w:val="auto"/>
          <w:spacing w:val="5"/>
          <w:sz w:val="24"/>
          <w:szCs w:val="24"/>
          <w:highlight w:val="none"/>
          <w:lang w:eastAsia="zh-CN"/>
        </w:rPr>
        <w:t>）</w:t>
      </w:r>
      <w:r>
        <w:rPr>
          <w:rFonts w:hint="eastAsia" w:ascii="Times New Roman" w:hAnsi="Times New Roman" w:cs="Times New Roman"/>
          <w:color w:val="auto"/>
          <w:sz w:val="24"/>
          <w:szCs w:val="24"/>
          <w:highlight w:val="none"/>
          <w:vertAlign w:val="baseline"/>
          <w:lang w:val="en-US" w:eastAsia="zh-CN"/>
        </w:rPr>
        <w:t>。</w:t>
      </w:r>
      <w:r>
        <w:rPr>
          <w:rFonts w:hint="eastAsia" w:eastAsia="宋体" w:cs="Times New Roman"/>
          <w:bCs/>
          <w:color w:val="auto"/>
          <w:kern w:val="0"/>
          <w:sz w:val="24"/>
          <w:szCs w:val="24"/>
          <w:highlight w:val="none"/>
          <w:lang w:val="en-US" w:eastAsia="zh-CN"/>
        </w:rPr>
        <w:t>硫酸雾无组织</w:t>
      </w:r>
      <w:r>
        <w:rPr>
          <w:rFonts w:hint="eastAsia" w:cs="Times New Roman"/>
          <w:color w:val="auto"/>
          <w:sz w:val="24"/>
          <w:szCs w:val="24"/>
          <w:highlight w:val="none"/>
          <w:lang w:val="en-US" w:eastAsia="zh-CN"/>
        </w:rPr>
        <w:t>最大</w:t>
      </w:r>
      <w:r>
        <w:rPr>
          <w:rFonts w:hint="eastAsia" w:ascii="Times New Roman" w:hAnsi="Times New Roman" w:cs="Times New Roman"/>
          <w:color w:val="auto"/>
          <w:sz w:val="24"/>
          <w:szCs w:val="24"/>
          <w:highlight w:val="none"/>
          <w:lang w:val="en-US" w:eastAsia="zh-CN"/>
        </w:rPr>
        <w:t>排放浓度</w:t>
      </w:r>
      <w:r>
        <w:rPr>
          <w:rFonts w:hint="eastAsia" w:cs="Times New Roman"/>
          <w:color w:val="auto"/>
          <w:sz w:val="24"/>
          <w:szCs w:val="24"/>
          <w:highlight w:val="none"/>
          <w:lang w:val="en-US" w:eastAsia="zh-CN"/>
        </w:rPr>
        <w:t>0.045</w:t>
      </w:r>
      <w:r>
        <w:rPr>
          <w:rFonts w:hint="eastAsia" w:ascii="Times New Roman" w:hAnsi="Times New Roman" w:cs="Times New Roman"/>
          <w:color w:val="auto"/>
          <w:sz w:val="24"/>
          <w:szCs w:val="24"/>
          <w:highlight w:val="none"/>
          <w:lang w:val="en-US" w:eastAsia="zh-CN"/>
        </w:rPr>
        <w:t>mg/m</w:t>
      </w:r>
      <w:r>
        <w:rPr>
          <w:rFonts w:hint="eastAsia" w:ascii="Times New Roman" w:hAnsi="Times New Roman" w:cs="Times New Roman"/>
          <w:color w:val="auto"/>
          <w:sz w:val="24"/>
          <w:szCs w:val="24"/>
          <w:highlight w:val="none"/>
          <w:vertAlign w:val="superscript"/>
          <w:lang w:val="en-US" w:eastAsia="zh-CN"/>
        </w:rPr>
        <w:t>3</w:t>
      </w:r>
      <w:r>
        <w:rPr>
          <w:rFonts w:hint="eastAsia" w:ascii="Times New Roman" w:hAnsi="Times New Roman" w:cs="Times New Roman"/>
          <w:color w:val="auto"/>
          <w:sz w:val="24"/>
          <w:szCs w:val="24"/>
          <w:highlight w:val="none"/>
          <w:vertAlign w:val="baseline"/>
          <w:lang w:val="en-US" w:eastAsia="zh-CN"/>
        </w:rPr>
        <w:t>，</w:t>
      </w:r>
      <w:r>
        <w:rPr>
          <w:rFonts w:hint="eastAsia" w:cs="Times New Roman"/>
          <w:color w:val="auto"/>
          <w:sz w:val="24"/>
          <w:szCs w:val="24"/>
          <w:highlight w:val="none"/>
          <w:vertAlign w:val="baseline"/>
          <w:lang w:val="en-US" w:eastAsia="zh-CN"/>
        </w:rPr>
        <w:t>满足</w:t>
      </w:r>
      <w:r>
        <w:rPr>
          <w:rFonts w:hint="default" w:ascii="Times New Roman" w:hAnsi="Times New Roman" w:eastAsia="宋体" w:cs="Times New Roman"/>
          <w:color w:val="auto"/>
          <w:spacing w:val="5"/>
          <w:sz w:val="24"/>
          <w:szCs w:val="24"/>
          <w:highlight w:val="none"/>
          <w:lang w:eastAsia="zh-CN"/>
        </w:rPr>
        <w:t>《大气污染物综合排放标准》（GB16297-1996）表2无组织排放浓度监控限值</w:t>
      </w:r>
      <w:r>
        <w:rPr>
          <w:rFonts w:hint="eastAsia" w:ascii="Times New Roman" w:hAnsi="Times New Roman" w:eastAsia="宋体" w:cs="Times New Roman"/>
          <w:color w:val="auto"/>
          <w:spacing w:val="5"/>
          <w:sz w:val="24"/>
          <w:szCs w:val="24"/>
          <w:highlight w:val="none"/>
          <w:lang w:eastAsia="zh-CN"/>
        </w:rPr>
        <w:t>（</w:t>
      </w:r>
      <w:r>
        <w:rPr>
          <w:rFonts w:hint="eastAsia" w:ascii="Times New Roman" w:hAnsi="Times New Roman" w:eastAsia="宋体" w:cs="Times New Roman"/>
          <w:color w:val="auto"/>
          <w:spacing w:val="5"/>
          <w:sz w:val="24"/>
          <w:szCs w:val="24"/>
          <w:highlight w:val="none"/>
          <w:lang w:val="en-US" w:eastAsia="zh-CN"/>
        </w:rPr>
        <w:t>1.2</w:t>
      </w:r>
      <w:r>
        <w:rPr>
          <w:rFonts w:hint="default" w:ascii="Times New Roman" w:hAnsi="Times New Roman" w:eastAsia="宋体" w:cs="Times New Roman"/>
          <w:color w:val="auto"/>
          <w:spacing w:val="5"/>
          <w:sz w:val="24"/>
          <w:szCs w:val="24"/>
          <w:highlight w:val="none"/>
        </w:rPr>
        <w:t>mg/m</w:t>
      </w:r>
      <w:r>
        <w:rPr>
          <w:rFonts w:hint="default" w:ascii="Times New Roman" w:hAnsi="Times New Roman" w:eastAsia="宋体" w:cs="Times New Roman"/>
          <w:color w:val="auto"/>
          <w:spacing w:val="5"/>
          <w:sz w:val="24"/>
          <w:szCs w:val="24"/>
          <w:highlight w:val="none"/>
          <w:vertAlign w:val="superscript"/>
        </w:rPr>
        <w:t>3</w:t>
      </w:r>
      <w:r>
        <w:rPr>
          <w:rFonts w:hint="eastAsia" w:ascii="Times New Roman" w:hAnsi="Times New Roman" w:eastAsia="宋体" w:cs="Times New Roman"/>
          <w:color w:val="auto"/>
          <w:spacing w:val="5"/>
          <w:sz w:val="24"/>
          <w:szCs w:val="24"/>
          <w:highlight w:val="none"/>
          <w:lang w:eastAsia="zh-CN"/>
        </w:rPr>
        <w:t>）</w:t>
      </w:r>
    </w:p>
    <w:p w14:paraId="76AB6FF5">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sz w:val="28"/>
          <w:szCs w:val="28"/>
          <w:highlight w:val="none"/>
          <w14:textFill>
            <w14:solidFill>
              <w14:schemeClr w14:val="tx1"/>
            </w14:solidFill>
          </w14:textFill>
        </w:rPr>
      </w:pPr>
      <w:r>
        <w:rPr>
          <w:rFonts w:hint="default" w:ascii="Times New Roman" w:hAnsi="Times New Roman" w:eastAsia="宋体" w:cs="Times New Roman"/>
          <w:b/>
          <w:color w:val="000000" w:themeColor="text1"/>
          <w:kern w:val="2"/>
          <w:sz w:val="28"/>
          <w:szCs w:val="28"/>
          <w:highlight w:val="none"/>
          <w:lang w:val="en-US" w:eastAsia="zh-CN" w:bidi="ar-SA"/>
          <w14:textFill>
            <w14:solidFill>
              <w14:schemeClr w14:val="tx1"/>
            </w14:solidFill>
          </w14:textFill>
        </w:rPr>
        <w:t>9.2.</w:t>
      </w:r>
      <w:r>
        <w:rPr>
          <w:rFonts w:hint="eastAsia" w:eastAsia="宋体" w:cs="Times New Roman"/>
          <w:b/>
          <w:color w:val="000000" w:themeColor="text1"/>
          <w:kern w:val="2"/>
          <w:sz w:val="28"/>
          <w:szCs w:val="28"/>
          <w:highlight w:val="none"/>
          <w:lang w:val="en-US" w:eastAsia="zh-CN" w:bidi="ar-SA"/>
          <w14:textFill>
            <w14:solidFill>
              <w14:schemeClr w14:val="tx1"/>
            </w14:solidFill>
          </w14:textFill>
        </w:rPr>
        <w:t>3</w:t>
      </w:r>
      <w:r>
        <w:rPr>
          <w:rFonts w:hint="default" w:ascii="Times New Roman" w:hAnsi="Times New Roman" w:eastAsia="宋体" w:cs="Times New Roman"/>
          <w:color w:val="000000" w:themeColor="text1"/>
          <w:sz w:val="28"/>
          <w:szCs w:val="28"/>
          <w:highlight w:val="none"/>
          <w14:textFill>
            <w14:solidFill>
              <w14:schemeClr w14:val="tx1"/>
            </w14:solidFill>
          </w14:textFill>
        </w:rPr>
        <w:t>噪声治理设施</w:t>
      </w:r>
    </w:p>
    <w:p w14:paraId="5841996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default" w:ascii="Times New Roman" w:hAnsi="Times New Roman" w:eastAsia="宋体" w:cs="Times New Roman"/>
          <w:b/>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表9-</w:t>
      </w:r>
      <w:r>
        <w:rPr>
          <w:rFonts w:hint="eastAsia" w:ascii="Times New Roman" w:hAnsi="Times New Roman" w:eastAsia="宋体" w:cs="Times New Roman"/>
          <w:b/>
          <w:color w:val="000000" w:themeColor="text1"/>
          <w:sz w:val="24"/>
          <w:szCs w:val="24"/>
          <w:highlight w:val="none"/>
          <w:lang w:val="en-US" w:eastAsia="zh-CN"/>
          <w14:textFill>
            <w14:solidFill>
              <w14:schemeClr w14:val="tx1"/>
            </w14:solidFill>
          </w14:textFill>
        </w:rPr>
        <w:t>3 项目</w:t>
      </w:r>
      <w:r>
        <w:rPr>
          <w:rFonts w:hint="default" w:ascii="Times New Roman" w:hAnsi="Times New Roman" w:eastAsia="宋体" w:cs="Times New Roman"/>
          <w:b/>
          <w:color w:val="000000" w:themeColor="text1"/>
          <w:sz w:val="24"/>
          <w:szCs w:val="24"/>
          <w:highlight w:val="none"/>
          <w14:textFill>
            <w14:solidFill>
              <w14:schemeClr w14:val="tx1"/>
            </w14:solidFill>
          </w14:textFill>
        </w:rPr>
        <w:t>噪声监测结果</w:t>
      </w:r>
      <w:r>
        <w:rPr>
          <w:rFonts w:hint="default" w:ascii="Times New Roman" w:hAnsi="Times New Roman" w:eastAsia="宋体" w:cs="Times New Roman"/>
          <w:b/>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b/>
          <w:color w:val="000000" w:themeColor="text1"/>
          <w:sz w:val="24"/>
          <w:szCs w:val="24"/>
          <w:highlight w:val="none"/>
          <w14:textFill>
            <w14:solidFill>
              <w14:schemeClr w14:val="tx1"/>
            </w14:solidFill>
          </w14:textFill>
        </w:rPr>
        <w:t>单位：dB（A）</w:t>
      </w:r>
      <w:r>
        <w:rPr>
          <w:rFonts w:hint="default" w:ascii="Times New Roman" w:hAnsi="Times New Roman" w:eastAsia="宋体" w:cs="Times New Roman"/>
          <w:b/>
          <w:color w:val="000000" w:themeColor="text1"/>
          <w:sz w:val="24"/>
          <w:szCs w:val="24"/>
          <w:highlight w:val="none"/>
          <w:lang w:eastAsia="zh-CN"/>
          <w14:textFill>
            <w14:solidFill>
              <w14:schemeClr w14:val="tx1"/>
            </w14:solidFill>
          </w14:textFill>
        </w:rPr>
        <w:t>）</w:t>
      </w:r>
    </w:p>
    <w:tbl>
      <w:tblPr>
        <w:tblStyle w:val="32"/>
        <w:tblW w:w="84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6"/>
        <w:gridCol w:w="1763"/>
        <w:gridCol w:w="1191"/>
        <w:gridCol w:w="1191"/>
        <w:gridCol w:w="1191"/>
        <w:gridCol w:w="1191"/>
      </w:tblGrid>
      <w:tr w14:paraId="3C0F4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3679" w:type="dxa"/>
            <w:gridSpan w:val="2"/>
            <w:tcBorders>
              <w:top w:val="single" w:color="auto" w:sz="4" w:space="0"/>
              <w:left w:val="single" w:color="auto" w:sz="4" w:space="0"/>
              <w:bottom w:val="single" w:color="auto" w:sz="4" w:space="0"/>
              <w:right w:val="single" w:color="auto" w:sz="4" w:space="0"/>
              <w:tl2br w:val="single" w:color="auto" w:sz="4" w:space="0"/>
            </w:tcBorders>
            <w:noWrap w:val="0"/>
            <w:vAlign w:val="center"/>
          </w:tcPr>
          <w:p w14:paraId="7FD2533C">
            <w:pPr>
              <w:jc w:val="center"/>
              <w:rPr>
                <w:rFonts w:hint="default" w:ascii="Times New Roman" w:hAnsi="Times New Roman" w:eastAsia="宋体" w:cs="Times New Roman"/>
                <w:bCs/>
                <w:highlight w:val="none"/>
              </w:rPr>
            </w:pPr>
            <w:bookmarkStart w:id="38" w:name="_Toc45522693"/>
            <w:r>
              <w:rPr>
                <w:rFonts w:hint="default" w:ascii="Times New Roman" w:hAnsi="Times New Roman" w:eastAsia="宋体" w:cs="Times New Roman"/>
                <w:bCs/>
                <w:kern w:val="0"/>
                <w:highlight w:val="none"/>
              </w:rPr>
              <w:t xml:space="preserve">             点位             </w:t>
            </w:r>
          </w:p>
          <w:p w14:paraId="4C40D3C7">
            <w:pPr>
              <w:jc w:val="left"/>
              <w:rPr>
                <w:rFonts w:hint="default" w:ascii="Times New Roman" w:hAnsi="Times New Roman" w:eastAsia="宋体" w:cs="Times New Roman"/>
                <w:bCs/>
                <w:highlight w:val="none"/>
              </w:rPr>
            </w:pPr>
            <w:r>
              <w:rPr>
                <w:rFonts w:hint="default" w:ascii="Times New Roman" w:hAnsi="Times New Roman" w:eastAsia="宋体" w:cs="Times New Roman"/>
                <w:bCs/>
                <w:kern w:val="0"/>
                <w:highlight w:val="none"/>
              </w:rPr>
              <w:t xml:space="preserve">    时段</w:t>
            </w:r>
          </w:p>
        </w:tc>
        <w:tc>
          <w:tcPr>
            <w:tcW w:w="1191" w:type="dxa"/>
            <w:tcBorders>
              <w:top w:val="single" w:color="auto" w:sz="4" w:space="0"/>
              <w:left w:val="single" w:color="auto" w:sz="4" w:space="0"/>
              <w:right w:val="single" w:color="auto" w:sz="4" w:space="0"/>
            </w:tcBorders>
            <w:noWrap w:val="0"/>
            <w:vAlign w:val="center"/>
          </w:tcPr>
          <w:p w14:paraId="41375061">
            <w:pPr>
              <w:widowControl/>
              <w:jc w:val="center"/>
              <w:rPr>
                <w:rFonts w:hint="eastAsia" w:ascii="Times New Roman" w:hAnsi="Times New Roman" w:eastAsia="宋体" w:cs="Times New Roman"/>
                <w:bCs/>
                <w:highlight w:val="none"/>
                <w:lang w:val="en-US" w:eastAsia="zh-CN"/>
              </w:rPr>
            </w:pPr>
            <w:r>
              <w:rPr>
                <w:rFonts w:hint="default" w:ascii="Times New Roman" w:hAnsi="Times New Roman" w:eastAsia="宋体" w:cs="Times New Roman"/>
                <w:bCs/>
                <w:highlight w:val="none"/>
              </w:rPr>
              <w:t>1</w:t>
            </w:r>
            <w:r>
              <w:rPr>
                <w:rFonts w:hint="default" w:ascii="Times New Roman" w:hAnsi="Times New Roman" w:eastAsia="宋体" w:cs="Times New Roman"/>
                <w:bCs/>
                <w:highlight w:val="none"/>
                <w:vertAlign w:val="superscript"/>
              </w:rPr>
              <w:t>#</w:t>
            </w:r>
            <w:r>
              <w:rPr>
                <w:rFonts w:hint="eastAsia" w:ascii="Times New Roman" w:hAnsi="Times New Roman" w:eastAsia="宋体" w:cs="Times New Roman"/>
                <w:bCs/>
                <w:highlight w:val="none"/>
                <w:vertAlign w:val="baseline"/>
                <w:lang w:val="en-US" w:eastAsia="zh-CN"/>
              </w:rPr>
              <w:t>西厂界</w:t>
            </w:r>
          </w:p>
        </w:tc>
        <w:tc>
          <w:tcPr>
            <w:tcW w:w="1191" w:type="dxa"/>
            <w:tcBorders>
              <w:top w:val="single" w:color="auto" w:sz="4" w:space="0"/>
              <w:left w:val="single" w:color="auto" w:sz="4" w:space="0"/>
              <w:right w:val="single" w:color="auto" w:sz="4" w:space="0"/>
            </w:tcBorders>
            <w:noWrap w:val="0"/>
            <w:vAlign w:val="center"/>
          </w:tcPr>
          <w:p w14:paraId="7270D933">
            <w:pPr>
              <w:widowControl/>
              <w:jc w:val="center"/>
              <w:rPr>
                <w:rFonts w:hint="default" w:ascii="Times New Roman" w:hAnsi="Times New Roman" w:eastAsia="宋体" w:cs="Times New Roman"/>
                <w:bCs/>
                <w:highlight w:val="none"/>
              </w:rPr>
            </w:pPr>
            <w:r>
              <w:rPr>
                <w:rFonts w:hint="eastAsia" w:ascii="Times New Roman" w:hAnsi="Times New Roman" w:eastAsia="宋体" w:cs="Times New Roman"/>
                <w:bCs/>
                <w:highlight w:val="none"/>
                <w:lang w:val="en-US" w:eastAsia="zh-CN"/>
              </w:rPr>
              <w:t>2</w:t>
            </w:r>
            <w:r>
              <w:rPr>
                <w:rFonts w:hint="default" w:ascii="Times New Roman" w:hAnsi="Times New Roman" w:eastAsia="宋体" w:cs="Times New Roman"/>
                <w:bCs/>
                <w:highlight w:val="none"/>
                <w:vertAlign w:val="superscript"/>
              </w:rPr>
              <w:t>#</w:t>
            </w:r>
            <w:r>
              <w:rPr>
                <w:rFonts w:hint="eastAsia" w:ascii="Times New Roman" w:hAnsi="Times New Roman" w:eastAsia="宋体" w:cs="Times New Roman"/>
                <w:bCs/>
                <w:highlight w:val="none"/>
                <w:vertAlign w:val="baseline"/>
                <w:lang w:val="en-US" w:eastAsia="zh-CN"/>
              </w:rPr>
              <w:t>东厂界</w:t>
            </w:r>
          </w:p>
        </w:tc>
        <w:tc>
          <w:tcPr>
            <w:tcW w:w="1191" w:type="dxa"/>
            <w:tcBorders>
              <w:top w:val="single" w:color="auto" w:sz="4" w:space="0"/>
              <w:left w:val="single" w:color="auto" w:sz="4" w:space="0"/>
              <w:right w:val="single" w:color="auto" w:sz="4" w:space="0"/>
            </w:tcBorders>
            <w:noWrap w:val="0"/>
            <w:vAlign w:val="center"/>
          </w:tcPr>
          <w:p w14:paraId="091B9529">
            <w:pPr>
              <w:widowControl/>
              <w:jc w:val="center"/>
              <w:rPr>
                <w:rFonts w:hint="eastAsia" w:ascii="Times New Roman" w:hAnsi="Times New Roman" w:eastAsia="宋体" w:cs="Times New Roman"/>
                <w:bCs/>
                <w:highlight w:val="none"/>
                <w:lang w:val="en-US" w:eastAsia="zh-CN"/>
              </w:rPr>
            </w:pPr>
            <w:r>
              <w:rPr>
                <w:rFonts w:hint="eastAsia" w:ascii="Times New Roman" w:hAnsi="Times New Roman" w:eastAsia="宋体" w:cs="Times New Roman"/>
                <w:bCs/>
                <w:highlight w:val="none"/>
                <w:lang w:val="en-US" w:eastAsia="zh-CN"/>
              </w:rPr>
              <w:t>3</w:t>
            </w:r>
            <w:r>
              <w:rPr>
                <w:rFonts w:hint="default" w:ascii="Times New Roman" w:hAnsi="Times New Roman" w:eastAsia="宋体" w:cs="Times New Roman"/>
                <w:bCs/>
                <w:highlight w:val="none"/>
                <w:lang w:val="en-US" w:eastAsia="zh-CN"/>
              </w:rPr>
              <w:t>#</w:t>
            </w:r>
            <w:r>
              <w:rPr>
                <w:rFonts w:hint="eastAsia" w:ascii="Times New Roman" w:hAnsi="Times New Roman" w:eastAsia="宋体" w:cs="Times New Roman"/>
                <w:bCs/>
                <w:highlight w:val="none"/>
                <w:lang w:val="en-US" w:eastAsia="zh-CN"/>
              </w:rPr>
              <w:t>天才宝贝幼儿园</w:t>
            </w:r>
          </w:p>
        </w:tc>
        <w:tc>
          <w:tcPr>
            <w:tcW w:w="1191" w:type="dxa"/>
            <w:tcBorders>
              <w:top w:val="single" w:color="auto" w:sz="4" w:space="0"/>
              <w:left w:val="single" w:color="auto" w:sz="4" w:space="0"/>
              <w:right w:val="single" w:color="auto" w:sz="4" w:space="0"/>
            </w:tcBorders>
            <w:noWrap w:val="0"/>
            <w:vAlign w:val="center"/>
          </w:tcPr>
          <w:p w14:paraId="43E33634">
            <w:pPr>
              <w:widowControl/>
              <w:jc w:val="center"/>
              <w:rPr>
                <w:rFonts w:hint="eastAsia" w:ascii="Times New Roman" w:hAnsi="Times New Roman" w:eastAsia="宋体" w:cs="Times New Roman"/>
                <w:bCs/>
                <w:highlight w:val="none"/>
                <w:lang w:val="en-US" w:eastAsia="zh-CN"/>
              </w:rPr>
            </w:pPr>
            <w:r>
              <w:rPr>
                <w:rFonts w:hint="eastAsia" w:ascii="Times New Roman" w:hAnsi="Times New Roman" w:eastAsia="宋体" w:cs="Times New Roman"/>
                <w:bCs/>
                <w:highlight w:val="none"/>
                <w:lang w:val="en-US" w:eastAsia="zh-CN"/>
              </w:rPr>
              <w:t>4</w:t>
            </w:r>
            <w:r>
              <w:rPr>
                <w:rFonts w:hint="default" w:ascii="Times New Roman" w:hAnsi="Times New Roman" w:eastAsia="宋体" w:cs="Times New Roman"/>
                <w:bCs/>
                <w:highlight w:val="none"/>
                <w:lang w:val="en-US" w:eastAsia="zh-CN"/>
              </w:rPr>
              <w:t>#</w:t>
            </w:r>
            <w:r>
              <w:rPr>
                <w:rFonts w:hint="eastAsia" w:ascii="Times New Roman" w:hAnsi="Times New Roman" w:eastAsia="宋体" w:cs="Times New Roman"/>
                <w:bCs/>
                <w:highlight w:val="none"/>
                <w:lang w:val="en-US" w:eastAsia="zh-CN"/>
              </w:rPr>
              <w:t>尚文小学</w:t>
            </w:r>
          </w:p>
        </w:tc>
      </w:tr>
      <w:tr w14:paraId="19DCE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916" w:type="dxa"/>
            <w:tcBorders>
              <w:top w:val="single" w:color="auto" w:sz="4" w:space="0"/>
              <w:left w:val="single" w:color="auto" w:sz="4" w:space="0"/>
              <w:right w:val="single" w:color="auto" w:sz="4" w:space="0"/>
            </w:tcBorders>
            <w:noWrap w:val="0"/>
            <w:vAlign w:val="center"/>
          </w:tcPr>
          <w:p w14:paraId="39EF0F51">
            <w:pPr>
              <w:jc w:val="center"/>
              <w:rPr>
                <w:rFonts w:hint="default" w:ascii="Times New Roman" w:hAnsi="Times New Roman" w:eastAsia="宋体" w:cs="Times New Roman"/>
                <w:bCs/>
                <w:color w:val="auto"/>
                <w:highlight w:val="none"/>
              </w:rPr>
            </w:pPr>
            <w:r>
              <w:rPr>
                <w:rFonts w:hint="eastAsia" w:ascii="Times New Roman" w:hAnsi="Times New Roman" w:eastAsia="宋体" w:cs="Times New Roman"/>
                <w:bCs/>
                <w:color w:val="auto"/>
                <w:highlight w:val="none"/>
                <w:lang w:val="en-US" w:eastAsia="zh-CN"/>
              </w:rPr>
              <w:t>03</w:t>
            </w:r>
            <w:r>
              <w:rPr>
                <w:rFonts w:hint="default" w:ascii="Times New Roman" w:hAnsi="Times New Roman" w:eastAsia="宋体" w:cs="Times New Roman"/>
                <w:bCs/>
                <w:color w:val="auto"/>
                <w:highlight w:val="none"/>
              </w:rPr>
              <w:t>月</w:t>
            </w:r>
            <w:r>
              <w:rPr>
                <w:rFonts w:hint="eastAsia" w:ascii="Times New Roman" w:hAnsi="Times New Roman" w:eastAsia="宋体" w:cs="Times New Roman"/>
                <w:bCs/>
                <w:color w:val="auto"/>
                <w:highlight w:val="none"/>
                <w:lang w:val="en-US" w:eastAsia="zh-CN"/>
              </w:rPr>
              <w:t>23</w:t>
            </w:r>
            <w:r>
              <w:rPr>
                <w:rFonts w:hint="default" w:ascii="Times New Roman" w:hAnsi="Times New Roman" w:eastAsia="宋体" w:cs="Times New Roman"/>
                <w:bCs/>
                <w:color w:val="auto"/>
                <w:highlight w:val="none"/>
              </w:rPr>
              <w:t>日</w:t>
            </w:r>
          </w:p>
        </w:tc>
        <w:tc>
          <w:tcPr>
            <w:tcW w:w="1763" w:type="dxa"/>
            <w:tcBorders>
              <w:top w:val="single" w:color="auto" w:sz="4" w:space="0"/>
              <w:left w:val="single" w:color="auto" w:sz="4" w:space="0"/>
              <w:bottom w:val="single" w:color="auto" w:sz="4" w:space="0"/>
              <w:right w:val="single" w:color="auto" w:sz="4" w:space="0"/>
            </w:tcBorders>
            <w:noWrap w:val="0"/>
            <w:vAlign w:val="center"/>
          </w:tcPr>
          <w:p w14:paraId="34A455C5">
            <w:pPr>
              <w:spacing w:line="240" w:lineRule="exact"/>
              <w:jc w:val="center"/>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昼间：</w:t>
            </w:r>
          </w:p>
          <w:p w14:paraId="59527464">
            <w:pPr>
              <w:spacing w:line="240" w:lineRule="exact"/>
              <w:jc w:val="center"/>
              <w:rPr>
                <w:rFonts w:hint="default" w:ascii="Times New Roman" w:hAnsi="Times New Roman" w:eastAsia="宋体" w:cs="Times New Roman"/>
                <w:bCs/>
                <w:color w:val="auto"/>
                <w:highlight w:val="none"/>
                <w:lang w:val="en-US" w:eastAsia="zh-CN"/>
              </w:rPr>
            </w:pPr>
            <w:r>
              <w:rPr>
                <w:rFonts w:hint="eastAsia" w:ascii="Times New Roman" w:hAnsi="Times New Roman" w:eastAsia="宋体" w:cs="Times New Roman"/>
                <w:bCs/>
                <w:color w:val="auto"/>
                <w:highlight w:val="none"/>
                <w:lang w:val="en-US" w:eastAsia="zh-CN"/>
              </w:rPr>
              <w:t>14:20~15:28</w:t>
            </w:r>
          </w:p>
        </w:tc>
        <w:tc>
          <w:tcPr>
            <w:tcW w:w="1191" w:type="dxa"/>
            <w:tcBorders>
              <w:left w:val="single" w:color="auto" w:sz="4" w:space="0"/>
              <w:right w:val="single" w:color="auto" w:sz="4" w:space="0"/>
            </w:tcBorders>
            <w:noWrap w:val="0"/>
            <w:vAlign w:val="center"/>
          </w:tcPr>
          <w:p w14:paraId="3447344E">
            <w:pPr>
              <w:jc w:val="center"/>
              <w:rPr>
                <w:rFonts w:hint="default" w:ascii="Times New Roman" w:hAnsi="Times New Roman" w:eastAsia="宋体" w:cs="Times New Roman"/>
                <w:bCs/>
                <w:color w:val="auto"/>
                <w:highlight w:val="none"/>
                <w:lang w:val="en-US" w:eastAsia="zh-CN"/>
              </w:rPr>
            </w:pPr>
            <w:r>
              <w:rPr>
                <w:rFonts w:hint="eastAsia" w:ascii="Times New Roman" w:hAnsi="Times New Roman" w:eastAsia="宋体" w:cs="Times New Roman"/>
                <w:bCs/>
                <w:color w:val="auto"/>
                <w:highlight w:val="none"/>
                <w:lang w:val="en-US" w:eastAsia="zh-CN"/>
              </w:rPr>
              <w:t>51</w:t>
            </w:r>
          </w:p>
        </w:tc>
        <w:tc>
          <w:tcPr>
            <w:tcW w:w="1191" w:type="dxa"/>
            <w:tcBorders>
              <w:left w:val="single" w:color="auto" w:sz="4" w:space="0"/>
              <w:right w:val="single" w:color="auto" w:sz="4" w:space="0"/>
            </w:tcBorders>
            <w:noWrap w:val="0"/>
            <w:vAlign w:val="center"/>
          </w:tcPr>
          <w:p w14:paraId="176FDBB7">
            <w:pPr>
              <w:jc w:val="center"/>
              <w:rPr>
                <w:rFonts w:hint="default" w:ascii="Times New Roman" w:hAnsi="Times New Roman" w:eastAsia="宋体" w:cs="Times New Roman"/>
                <w:bCs/>
                <w:color w:val="auto"/>
                <w:highlight w:val="none"/>
                <w:lang w:val="en-US" w:eastAsia="zh-CN"/>
              </w:rPr>
            </w:pPr>
            <w:r>
              <w:rPr>
                <w:rFonts w:hint="eastAsia" w:ascii="Times New Roman" w:hAnsi="Times New Roman" w:eastAsia="宋体" w:cs="Times New Roman"/>
                <w:bCs/>
                <w:color w:val="auto"/>
                <w:highlight w:val="none"/>
                <w:lang w:val="en-US" w:eastAsia="zh-CN"/>
              </w:rPr>
              <w:t>56</w:t>
            </w:r>
          </w:p>
        </w:tc>
        <w:tc>
          <w:tcPr>
            <w:tcW w:w="1191" w:type="dxa"/>
            <w:tcBorders>
              <w:left w:val="single" w:color="auto" w:sz="4" w:space="0"/>
              <w:right w:val="single" w:color="auto" w:sz="4" w:space="0"/>
            </w:tcBorders>
            <w:noWrap w:val="0"/>
            <w:vAlign w:val="center"/>
          </w:tcPr>
          <w:p w14:paraId="2D7EB1F6">
            <w:pPr>
              <w:jc w:val="center"/>
              <w:rPr>
                <w:rFonts w:hint="default" w:ascii="Times New Roman" w:hAnsi="Times New Roman" w:eastAsia="宋体" w:cs="Times New Roman"/>
                <w:bCs/>
                <w:color w:val="auto"/>
                <w:highlight w:val="none"/>
                <w:lang w:val="en-US" w:eastAsia="zh-CN"/>
              </w:rPr>
            </w:pPr>
            <w:r>
              <w:rPr>
                <w:rFonts w:hint="eastAsia" w:ascii="Times New Roman" w:hAnsi="Times New Roman" w:eastAsia="宋体" w:cs="Times New Roman"/>
                <w:bCs/>
                <w:color w:val="auto"/>
                <w:highlight w:val="none"/>
                <w:lang w:val="en-US" w:eastAsia="zh-CN"/>
              </w:rPr>
              <w:t>53</w:t>
            </w:r>
          </w:p>
        </w:tc>
        <w:tc>
          <w:tcPr>
            <w:tcW w:w="1191" w:type="dxa"/>
            <w:tcBorders>
              <w:left w:val="single" w:color="auto" w:sz="4" w:space="0"/>
              <w:right w:val="single" w:color="auto" w:sz="4" w:space="0"/>
            </w:tcBorders>
            <w:noWrap w:val="0"/>
            <w:vAlign w:val="center"/>
          </w:tcPr>
          <w:p w14:paraId="6AACCF0C">
            <w:pPr>
              <w:jc w:val="center"/>
              <w:rPr>
                <w:rFonts w:hint="default" w:ascii="Times New Roman" w:hAnsi="Times New Roman" w:eastAsia="宋体" w:cs="Times New Roman"/>
                <w:bCs/>
                <w:color w:val="auto"/>
                <w:highlight w:val="none"/>
                <w:lang w:val="en-US" w:eastAsia="zh-CN"/>
              </w:rPr>
            </w:pPr>
            <w:r>
              <w:rPr>
                <w:rFonts w:hint="eastAsia" w:ascii="Times New Roman" w:hAnsi="Times New Roman" w:eastAsia="宋体" w:cs="Times New Roman"/>
                <w:bCs/>
                <w:color w:val="auto"/>
                <w:highlight w:val="none"/>
                <w:lang w:val="en-US" w:eastAsia="zh-CN"/>
              </w:rPr>
              <w:t>56</w:t>
            </w:r>
          </w:p>
        </w:tc>
      </w:tr>
      <w:tr w14:paraId="7CDBC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916" w:type="dxa"/>
            <w:tcBorders>
              <w:top w:val="single" w:color="auto" w:sz="4" w:space="0"/>
              <w:left w:val="single" w:color="auto" w:sz="4" w:space="0"/>
              <w:right w:val="single" w:color="auto" w:sz="4" w:space="0"/>
            </w:tcBorders>
            <w:noWrap w:val="0"/>
            <w:vAlign w:val="center"/>
          </w:tcPr>
          <w:p w14:paraId="4F8E8BDA">
            <w:pPr>
              <w:jc w:val="center"/>
              <w:rPr>
                <w:rFonts w:hint="eastAsia" w:ascii="Times New Roman" w:hAnsi="Times New Roman" w:eastAsia="宋体" w:cs="Times New Roman"/>
                <w:bCs/>
                <w:color w:val="auto"/>
                <w:highlight w:val="none"/>
                <w:lang w:val="en-US" w:eastAsia="zh-CN"/>
              </w:rPr>
            </w:pPr>
            <w:r>
              <w:rPr>
                <w:rFonts w:hint="eastAsia" w:ascii="Times New Roman" w:hAnsi="Times New Roman" w:eastAsia="宋体" w:cs="Times New Roman"/>
                <w:bCs/>
                <w:color w:val="auto"/>
                <w:highlight w:val="none"/>
                <w:lang w:val="en-US" w:eastAsia="zh-CN"/>
              </w:rPr>
              <w:t>03</w:t>
            </w:r>
            <w:r>
              <w:rPr>
                <w:rFonts w:hint="default" w:ascii="Times New Roman" w:hAnsi="Times New Roman" w:eastAsia="宋体" w:cs="Times New Roman"/>
                <w:bCs/>
                <w:color w:val="auto"/>
                <w:highlight w:val="none"/>
              </w:rPr>
              <w:t>月</w:t>
            </w:r>
            <w:r>
              <w:rPr>
                <w:rFonts w:hint="eastAsia" w:ascii="Times New Roman" w:hAnsi="Times New Roman" w:eastAsia="宋体" w:cs="Times New Roman"/>
                <w:bCs/>
                <w:color w:val="auto"/>
                <w:highlight w:val="none"/>
                <w:lang w:val="en-US" w:eastAsia="zh-CN"/>
              </w:rPr>
              <w:t>24</w:t>
            </w:r>
            <w:r>
              <w:rPr>
                <w:rFonts w:hint="default" w:ascii="Times New Roman" w:hAnsi="Times New Roman" w:eastAsia="宋体" w:cs="Times New Roman"/>
                <w:bCs/>
                <w:color w:val="auto"/>
                <w:highlight w:val="none"/>
              </w:rPr>
              <w:t>日</w:t>
            </w:r>
          </w:p>
        </w:tc>
        <w:tc>
          <w:tcPr>
            <w:tcW w:w="1763" w:type="dxa"/>
            <w:tcBorders>
              <w:top w:val="single" w:color="auto" w:sz="4" w:space="0"/>
              <w:left w:val="single" w:color="auto" w:sz="4" w:space="0"/>
              <w:bottom w:val="single" w:color="auto" w:sz="4" w:space="0"/>
              <w:right w:val="single" w:color="auto" w:sz="4" w:space="0"/>
            </w:tcBorders>
            <w:noWrap w:val="0"/>
            <w:vAlign w:val="center"/>
          </w:tcPr>
          <w:p w14:paraId="2CCEB7C7">
            <w:pPr>
              <w:spacing w:line="240" w:lineRule="exact"/>
              <w:jc w:val="center"/>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昼间：</w:t>
            </w:r>
          </w:p>
          <w:p w14:paraId="36FD2619">
            <w:pPr>
              <w:spacing w:line="240" w:lineRule="exact"/>
              <w:jc w:val="center"/>
              <w:rPr>
                <w:rFonts w:hint="default" w:ascii="Times New Roman" w:hAnsi="Times New Roman" w:eastAsia="宋体" w:cs="Times New Roman"/>
                <w:bCs/>
                <w:color w:val="auto"/>
                <w:highlight w:val="none"/>
                <w:lang w:val="en-US" w:eastAsia="zh-CN"/>
              </w:rPr>
            </w:pPr>
            <w:r>
              <w:rPr>
                <w:rFonts w:hint="eastAsia" w:ascii="Times New Roman" w:hAnsi="Times New Roman" w:eastAsia="宋体" w:cs="Times New Roman"/>
                <w:bCs/>
                <w:color w:val="auto"/>
                <w:highlight w:val="none"/>
                <w:lang w:val="en-US" w:eastAsia="zh-CN"/>
              </w:rPr>
              <w:t>14:33~15:30</w:t>
            </w:r>
          </w:p>
        </w:tc>
        <w:tc>
          <w:tcPr>
            <w:tcW w:w="1191" w:type="dxa"/>
            <w:tcBorders>
              <w:left w:val="single" w:color="auto" w:sz="4" w:space="0"/>
              <w:right w:val="single" w:color="auto" w:sz="4" w:space="0"/>
            </w:tcBorders>
            <w:noWrap w:val="0"/>
            <w:vAlign w:val="center"/>
          </w:tcPr>
          <w:p w14:paraId="1BF29C17">
            <w:pPr>
              <w:jc w:val="center"/>
              <w:rPr>
                <w:rFonts w:hint="default" w:ascii="Times New Roman" w:hAnsi="Times New Roman" w:eastAsia="宋体" w:cs="Times New Roman"/>
                <w:bCs/>
                <w:color w:val="auto"/>
                <w:highlight w:val="none"/>
                <w:lang w:val="en-US" w:eastAsia="zh-CN"/>
              </w:rPr>
            </w:pPr>
            <w:r>
              <w:rPr>
                <w:rFonts w:hint="eastAsia" w:ascii="Times New Roman" w:hAnsi="Times New Roman" w:eastAsia="宋体" w:cs="Times New Roman"/>
                <w:bCs/>
                <w:color w:val="auto"/>
                <w:highlight w:val="none"/>
                <w:lang w:val="en-US" w:eastAsia="zh-CN"/>
              </w:rPr>
              <w:t>55</w:t>
            </w:r>
          </w:p>
        </w:tc>
        <w:tc>
          <w:tcPr>
            <w:tcW w:w="1191" w:type="dxa"/>
            <w:tcBorders>
              <w:left w:val="single" w:color="auto" w:sz="4" w:space="0"/>
              <w:right w:val="single" w:color="auto" w:sz="4" w:space="0"/>
            </w:tcBorders>
            <w:noWrap w:val="0"/>
            <w:vAlign w:val="center"/>
          </w:tcPr>
          <w:p w14:paraId="71C2A2EC">
            <w:pPr>
              <w:jc w:val="center"/>
              <w:rPr>
                <w:rFonts w:hint="default" w:ascii="Times New Roman" w:hAnsi="Times New Roman" w:eastAsia="宋体" w:cs="Times New Roman"/>
                <w:bCs/>
                <w:color w:val="auto"/>
                <w:highlight w:val="none"/>
                <w:lang w:val="en-US" w:eastAsia="zh-CN"/>
              </w:rPr>
            </w:pPr>
            <w:r>
              <w:rPr>
                <w:rFonts w:hint="eastAsia" w:ascii="Times New Roman" w:hAnsi="Times New Roman" w:eastAsia="宋体" w:cs="Times New Roman"/>
                <w:bCs/>
                <w:color w:val="auto"/>
                <w:highlight w:val="none"/>
                <w:lang w:val="en-US" w:eastAsia="zh-CN"/>
              </w:rPr>
              <w:t>55</w:t>
            </w:r>
          </w:p>
        </w:tc>
        <w:tc>
          <w:tcPr>
            <w:tcW w:w="1191" w:type="dxa"/>
            <w:tcBorders>
              <w:left w:val="single" w:color="auto" w:sz="4" w:space="0"/>
              <w:right w:val="single" w:color="auto" w:sz="4" w:space="0"/>
            </w:tcBorders>
            <w:noWrap w:val="0"/>
            <w:vAlign w:val="center"/>
          </w:tcPr>
          <w:p w14:paraId="1153D130">
            <w:pPr>
              <w:jc w:val="center"/>
              <w:rPr>
                <w:rFonts w:hint="default" w:ascii="Times New Roman" w:hAnsi="Times New Roman" w:eastAsia="宋体" w:cs="Times New Roman"/>
                <w:bCs/>
                <w:color w:val="auto"/>
                <w:highlight w:val="none"/>
                <w:lang w:val="en-US" w:eastAsia="zh-CN"/>
              </w:rPr>
            </w:pPr>
            <w:r>
              <w:rPr>
                <w:rFonts w:hint="eastAsia" w:ascii="Times New Roman" w:hAnsi="Times New Roman" w:eastAsia="宋体" w:cs="Times New Roman"/>
                <w:bCs/>
                <w:color w:val="auto"/>
                <w:highlight w:val="none"/>
                <w:lang w:val="en-US" w:eastAsia="zh-CN"/>
              </w:rPr>
              <w:t>55</w:t>
            </w:r>
          </w:p>
        </w:tc>
        <w:tc>
          <w:tcPr>
            <w:tcW w:w="1191" w:type="dxa"/>
            <w:tcBorders>
              <w:left w:val="single" w:color="auto" w:sz="4" w:space="0"/>
              <w:right w:val="single" w:color="auto" w:sz="4" w:space="0"/>
            </w:tcBorders>
            <w:noWrap w:val="0"/>
            <w:vAlign w:val="center"/>
          </w:tcPr>
          <w:p w14:paraId="7C644767">
            <w:pPr>
              <w:jc w:val="center"/>
              <w:rPr>
                <w:rFonts w:hint="default" w:ascii="Times New Roman" w:hAnsi="Times New Roman" w:eastAsia="宋体" w:cs="Times New Roman"/>
                <w:bCs/>
                <w:color w:val="auto"/>
                <w:highlight w:val="none"/>
                <w:lang w:val="en-US" w:eastAsia="zh-CN"/>
              </w:rPr>
            </w:pPr>
            <w:r>
              <w:rPr>
                <w:rFonts w:hint="eastAsia" w:ascii="Times New Roman" w:hAnsi="Times New Roman" w:eastAsia="宋体" w:cs="Times New Roman"/>
                <w:bCs/>
                <w:color w:val="auto"/>
                <w:highlight w:val="none"/>
                <w:lang w:val="en-US" w:eastAsia="zh-CN"/>
              </w:rPr>
              <w:t>58</w:t>
            </w:r>
          </w:p>
        </w:tc>
      </w:tr>
      <w:tr w14:paraId="30499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8443" w:type="dxa"/>
            <w:gridSpan w:val="6"/>
            <w:tcBorders>
              <w:top w:val="single" w:color="auto" w:sz="4" w:space="0"/>
              <w:left w:val="single" w:color="auto" w:sz="4" w:space="0"/>
              <w:right w:val="single" w:color="auto" w:sz="4" w:space="0"/>
            </w:tcBorders>
            <w:noWrap w:val="0"/>
            <w:vAlign w:val="center"/>
          </w:tcPr>
          <w:p w14:paraId="53830ECB">
            <w:pPr>
              <w:jc w:val="left"/>
              <w:rPr>
                <w:rFonts w:hint="eastAsia" w:ascii="Times New Roman" w:hAnsi="Times New Roman" w:eastAsia="宋体" w:cs="Times New Roman"/>
                <w:bCs/>
                <w:color w:val="auto"/>
                <w:highlight w:val="none"/>
                <w:lang w:val="en-US" w:eastAsia="zh-CN"/>
              </w:rPr>
            </w:pPr>
            <w:r>
              <w:rPr>
                <w:rFonts w:hint="eastAsia" w:ascii="Times New Roman" w:hAnsi="Times New Roman" w:eastAsia="宋体" w:cs="Times New Roman"/>
                <w:bCs/>
                <w:color w:val="auto"/>
                <w:highlight w:val="none"/>
                <w:lang w:val="en-US" w:eastAsia="zh-CN"/>
              </w:rPr>
              <w:t>注：测量期间主要声源为打磨、风机、周边环境产生的噪声。夜间不生产。厂界南、北两侧紧邻其它企业，不具备检测条件。以上数据仅对本次检测负责。</w:t>
            </w:r>
          </w:p>
        </w:tc>
      </w:tr>
    </w:tbl>
    <w:p w14:paraId="3E953E49">
      <w:pPr>
        <w:pStyle w:val="9"/>
        <w:spacing w:line="460" w:lineRule="exact"/>
        <w:ind w:firstLine="520"/>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w:t>
      </w:r>
      <w:r>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4</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w:t>
      </w:r>
      <w:r>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噪声</w:t>
      </w:r>
    </w:p>
    <w:p w14:paraId="2EA483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eastAsia" w:eastAsia="宋体" w:cs="Times New Roman"/>
          <w:bCs/>
          <w:color w:val="auto"/>
          <w:sz w:val="24"/>
          <w:szCs w:val="24"/>
          <w:highlight w:val="none"/>
          <w:lang w:val="en-US" w:eastAsia="zh-CN"/>
        </w:rPr>
        <w:t>验收检测期间</w:t>
      </w:r>
      <w:r>
        <w:rPr>
          <w:rFonts w:hint="default" w:ascii="Times New Roman" w:hAnsi="Times New Roman" w:eastAsia="宋体" w:cs="Times New Roman"/>
          <w:color w:val="000000" w:themeColor="text1"/>
          <w:sz w:val="24"/>
          <w:highlight w:val="none"/>
          <w14:textFill>
            <w14:solidFill>
              <w14:schemeClr w14:val="tx1"/>
            </w14:solidFill>
          </w14:textFill>
        </w:rPr>
        <w:t>，该企业</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东、西厂界</w:t>
      </w:r>
      <w:r>
        <w:rPr>
          <w:rFonts w:hint="default" w:ascii="Times New Roman" w:hAnsi="Times New Roman" w:eastAsia="宋体" w:cs="Times New Roman"/>
          <w:color w:val="000000" w:themeColor="text1"/>
          <w:sz w:val="24"/>
          <w:highlight w:val="none"/>
          <w14:textFill>
            <w14:solidFill>
              <w14:schemeClr w14:val="tx1"/>
            </w14:solidFill>
          </w14:textFill>
        </w:rPr>
        <w:t>昼间噪声值</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在51~56</w:t>
      </w:r>
      <w:r>
        <w:rPr>
          <w:rFonts w:hint="default" w:ascii="Times New Roman" w:hAnsi="Times New Roman" w:eastAsia="宋体" w:cs="Times New Roman"/>
          <w:color w:val="000000" w:themeColor="text1"/>
          <w:sz w:val="24"/>
          <w:highlight w:val="none"/>
          <w14:textFill>
            <w14:solidFill>
              <w14:schemeClr w14:val="tx1"/>
            </w14:solidFill>
          </w14:textFill>
        </w:rPr>
        <w:t>dB(A)之间</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东、西</w:t>
      </w:r>
      <w:r>
        <w:rPr>
          <w:rFonts w:hint="default" w:ascii="Times New Roman" w:hAnsi="Times New Roman" w:eastAsia="宋体" w:cs="Times New Roman"/>
          <w:color w:val="000000" w:themeColor="text1"/>
          <w:sz w:val="24"/>
          <w:highlight w:val="none"/>
          <w14:textFill>
            <w14:solidFill>
              <w14:schemeClr w14:val="tx1"/>
            </w14:solidFill>
          </w14:textFill>
        </w:rPr>
        <w:t>厂界噪声能够满足《工业企业厂界环境噪声排放标准》（GB12348-2008）</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3</w:t>
      </w:r>
      <w:r>
        <w:rPr>
          <w:rFonts w:hint="default" w:ascii="Times New Roman" w:hAnsi="Times New Roman" w:eastAsia="宋体" w:cs="Times New Roman"/>
          <w:color w:val="000000" w:themeColor="text1"/>
          <w:sz w:val="24"/>
          <w:highlight w:val="none"/>
          <w14:textFill>
            <w14:solidFill>
              <w14:schemeClr w14:val="tx1"/>
            </w14:solidFill>
          </w14:textFill>
        </w:rPr>
        <w:t>类标准要求：昼间</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65</w:t>
      </w:r>
      <w:r>
        <w:rPr>
          <w:rFonts w:hint="default" w:ascii="Times New Roman" w:hAnsi="Times New Roman" w:eastAsia="宋体" w:cs="Times New Roman"/>
          <w:color w:val="000000" w:themeColor="text1"/>
          <w:sz w:val="24"/>
          <w:highlight w:val="none"/>
          <w14:textFill>
            <w14:solidFill>
              <w14:schemeClr w14:val="tx1"/>
            </w14:solidFill>
          </w14:textFill>
        </w:rPr>
        <w:t>dB（A）</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夜间55</w:t>
      </w:r>
      <w:r>
        <w:rPr>
          <w:rFonts w:hint="default" w:ascii="Times New Roman" w:hAnsi="Times New Roman" w:eastAsia="宋体" w:cs="Times New Roman"/>
          <w:color w:val="000000" w:themeColor="text1"/>
          <w:sz w:val="24"/>
          <w:highlight w:val="none"/>
          <w14:textFill>
            <w14:solidFill>
              <w14:schemeClr w14:val="tx1"/>
            </w14:solidFill>
          </w14:textFill>
        </w:rPr>
        <w:t>dB（A）</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w:t>
      </w:r>
    </w:p>
    <w:bookmarkEnd w:id="38"/>
    <w:p w14:paraId="549143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eastAsia="宋体" w:cs="Times New Roman"/>
          <w:bCs/>
          <w:color w:val="auto"/>
          <w:sz w:val="24"/>
          <w:szCs w:val="24"/>
          <w:highlight w:val="none"/>
          <w:lang w:val="en-US" w:eastAsia="zh-CN"/>
        </w:rPr>
        <w:t>验收检测期间</w:t>
      </w:r>
      <w:r>
        <w:rPr>
          <w:rFonts w:hint="default" w:ascii="Times New Roman" w:hAnsi="Times New Roman" w:eastAsia="宋体" w:cs="Times New Roman"/>
          <w:color w:val="000000" w:themeColor="text1"/>
          <w:sz w:val="24"/>
          <w:highlight w:val="none"/>
          <w14:textFill>
            <w14:solidFill>
              <w14:schemeClr w14:val="tx1"/>
            </w14:solidFill>
          </w14:textFill>
        </w:rPr>
        <w:t>，</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项目敏感点</w:t>
      </w:r>
      <w:r>
        <w:rPr>
          <w:rFonts w:hint="eastAsia" w:ascii="Times New Roman" w:hAnsi="Times New Roman" w:eastAsia="宋体" w:cs="Times New Roman"/>
          <w:b w:val="0"/>
          <w:bCs w:val="0"/>
          <w:sz w:val="24"/>
          <w:highlight w:val="none"/>
          <w:lang w:val="en-US" w:eastAsia="zh-CN"/>
        </w:rPr>
        <w:t>天才宝贝幼儿园</w:t>
      </w:r>
      <w:r>
        <w:rPr>
          <w:rFonts w:hint="default" w:ascii="Times New Roman" w:hAnsi="Times New Roman" w:eastAsia="宋体" w:cs="Times New Roman"/>
          <w:color w:val="000000" w:themeColor="text1"/>
          <w:sz w:val="24"/>
          <w:highlight w:val="none"/>
          <w14:textFill>
            <w14:solidFill>
              <w14:schemeClr w14:val="tx1"/>
            </w14:solidFill>
          </w14:textFill>
        </w:rPr>
        <w:t>噪声值</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在53~55</w:t>
      </w:r>
      <w:r>
        <w:rPr>
          <w:rFonts w:hint="default" w:ascii="Times New Roman" w:hAnsi="Times New Roman" w:eastAsia="宋体" w:cs="Times New Roman"/>
          <w:color w:val="000000" w:themeColor="text1"/>
          <w:sz w:val="24"/>
          <w:highlight w:val="none"/>
          <w14:textFill>
            <w14:solidFill>
              <w14:schemeClr w14:val="tx1"/>
            </w14:solidFill>
          </w14:textFill>
        </w:rPr>
        <w:t>dB(A)之间</w:t>
      </w:r>
      <w:r>
        <w:rPr>
          <w:rFonts w:hint="default" w:ascii="Times New Roman" w:hAnsi="Times New Roman" w:eastAsia="宋体" w:cs="Times New Roman"/>
          <w:color w:val="000000" w:themeColor="text1"/>
          <w:sz w:val="24"/>
          <w:highlight w:val="none"/>
          <w14:textFill>
            <w14:solidFill>
              <w14:schemeClr w14:val="tx1"/>
            </w14:solidFill>
          </w14:textFill>
        </w:rPr>
        <w:t>，</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项目敏感点</w:t>
      </w:r>
      <w:r>
        <w:rPr>
          <w:rFonts w:hint="eastAsia" w:ascii="Times New Roman" w:hAnsi="Times New Roman" w:eastAsia="宋体" w:cs="Times New Roman"/>
          <w:b w:val="0"/>
          <w:bCs w:val="0"/>
          <w:sz w:val="24"/>
          <w:highlight w:val="none"/>
          <w:lang w:val="en-US" w:eastAsia="zh-CN"/>
        </w:rPr>
        <w:t>尚文小学</w:t>
      </w:r>
      <w:r>
        <w:rPr>
          <w:rFonts w:hint="default" w:ascii="Times New Roman" w:hAnsi="Times New Roman" w:eastAsia="宋体" w:cs="Times New Roman"/>
          <w:color w:val="000000" w:themeColor="text1"/>
          <w:sz w:val="24"/>
          <w:highlight w:val="none"/>
          <w14:textFill>
            <w14:solidFill>
              <w14:schemeClr w14:val="tx1"/>
            </w14:solidFill>
          </w14:textFill>
        </w:rPr>
        <w:t>噪声值</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在56~58</w:t>
      </w:r>
      <w:r>
        <w:rPr>
          <w:rFonts w:hint="default" w:ascii="Times New Roman" w:hAnsi="Times New Roman" w:eastAsia="宋体" w:cs="Times New Roman"/>
          <w:color w:val="000000" w:themeColor="text1"/>
          <w:sz w:val="24"/>
          <w:highlight w:val="none"/>
          <w14:textFill>
            <w14:solidFill>
              <w14:schemeClr w14:val="tx1"/>
            </w14:solidFill>
          </w14:textFill>
        </w:rPr>
        <w:t>dB(A)之间</w:t>
      </w:r>
      <w:r>
        <w:rPr>
          <w:rFonts w:hint="default" w:ascii="Times New Roman" w:hAnsi="Times New Roman" w:eastAsia="宋体" w:cs="Times New Roman"/>
          <w:color w:val="000000" w:themeColor="text1"/>
          <w:sz w:val="24"/>
          <w:highlight w:val="none"/>
          <w14:textFill>
            <w14:solidFill>
              <w14:schemeClr w14:val="tx1"/>
            </w14:solidFill>
          </w14:textFill>
        </w:rPr>
        <w:t>，</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敏感点</w:t>
      </w:r>
      <w:r>
        <w:rPr>
          <w:rFonts w:hint="default" w:ascii="Times New Roman" w:hAnsi="Times New Roman" w:eastAsia="宋体" w:cs="Times New Roman"/>
          <w:color w:val="000000" w:themeColor="text1"/>
          <w:sz w:val="24"/>
          <w:highlight w:val="none"/>
          <w14:textFill>
            <w14:solidFill>
              <w14:schemeClr w14:val="tx1"/>
            </w14:solidFill>
          </w14:textFill>
        </w:rPr>
        <w:t>噪声能够满足《工业企业厂界环境噪声排放标准》（GB12348-2008）</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2</w:t>
      </w:r>
      <w:r>
        <w:rPr>
          <w:rFonts w:hint="default" w:ascii="Times New Roman" w:hAnsi="Times New Roman" w:eastAsia="宋体" w:cs="Times New Roman"/>
          <w:color w:val="000000" w:themeColor="text1"/>
          <w:sz w:val="24"/>
          <w:highlight w:val="none"/>
          <w14:textFill>
            <w14:solidFill>
              <w14:schemeClr w14:val="tx1"/>
            </w14:solidFill>
          </w14:textFill>
        </w:rPr>
        <w:t>类标准要求：昼间</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60</w:t>
      </w:r>
      <w:r>
        <w:rPr>
          <w:rFonts w:hint="default" w:ascii="Times New Roman" w:hAnsi="Times New Roman" w:eastAsia="宋体" w:cs="Times New Roman"/>
          <w:color w:val="000000" w:themeColor="text1"/>
          <w:sz w:val="24"/>
          <w:highlight w:val="none"/>
          <w14:textFill>
            <w14:solidFill>
              <w14:schemeClr w14:val="tx1"/>
            </w14:solidFill>
          </w14:textFill>
        </w:rPr>
        <w:t>dB（A）</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夜间50</w:t>
      </w:r>
      <w:r>
        <w:rPr>
          <w:rFonts w:hint="default" w:ascii="Times New Roman" w:hAnsi="Times New Roman" w:eastAsia="宋体" w:cs="Times New Roman"/>
          <w:color w:val="000000" w:themeColor="text1"/>
          <w:sz w:val="24"/>
          <w:highlight w:val="none"/>
          <w14:textFill>
            <w14:solidFill>
              <w14:schemeClr w14:val="tx1"/>
            </w14:solidFill>
          </w14:textFill>
        </w:rPr>
        <w:t>dB（A）</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w:t>
      </w:r>
    </w:p>
    <w:p w14:paraId="2BB317AE">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9.2.</w:t>
      </w:r>
      <w:r>
        <w:rPr>
          <w:rFonts w:hint="eastAsia" w:eastAsia="宋体" w:cs="Times New Roman"/>
          <w:color w:val="000000" w:themeColor="text1"/>
          <w:highlight w:val="none"/>
          <w:lang w:val="en-US" w:eastAsia="zh-CN"/>
          <w14:textFill>
            <w14:solidFill>
              <w14:schemeClr w14:val="tx1"/>
            </w14:solidFill>
          </w14:textFill>
        </w:rPr>
        <w:t>3</w:t>
      </w:r>
      <w:r>
        <w:rPr>
          <w:rFonts w:hint="default" w:ascii="Times New Roman" w:hAnsi="Times New Roman" w:eastAsia="宋体" w:cs="Times New Roman"/>
          <w:color w:val="000000" w:themeColor="text1"/>
          <w:highlight w:val="none"/>
          <w14:textFill>
            <w14:solidFill>
              <w14:schemeClr w14:val="tx1"/>
            </w14:solidFill>
          </w14:textFill>
        </w:rPr>
        <w:t>污染物排放总量核算</w:t>
      </w:r>
    </w:p>
    <w:p w14:paraId="6C682B2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4"/>
          <w:szCs w:val="21"/>
          <w:highlight w:val="none"/>
          <w14:textFill>
            <w14:solidFill>
              <w14:schemeClr w14:val="tx1"/>
            </w14:solidFill>
          </w14:textFill>
        </w:rPr>
        <w:t>项目生产</w:t>
      </w:r>
      <w:r>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t>废水经自建污水处理站处理后回用</w:t>
      </w:r>
      <w:r>
        <w:rPr>
          <w:rFonts w:hint="default" w:ascii="Times New Roman" w:hAnsi="Times New Roman" w:eastAsia="宋体" w:cs="Times New Roman"/>
          <w:color w:val="000000" w:themeColor="text1"/>
          <w:kern w:val="0"/>
          <w:sz w:val="24"/>
          <w:szCs w:val="21"/>
          <w:highlight w:val="none"/>
          <w14:textFill>
            <w14:solidFill>
              <w14:schemeClr w14:val="tx1"/>
            </w14:solidFill>
          </w14:textFill>
        </w:rPr>
        <w:t>，</w:t>
      </w:r>
      <w:r>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t>生活污水经化粪池预处理后通过市政污水管网进入鸦鸿桥镇污水处理厂处理。</w:t>
      </w:r>
      <w:r>
        <w:rPr>
          <w:rFonts w:hint="default" w:ascii="Times New Roman" w:hAnsi="Times New Roman" w:eastAsia="宋体" w:cs="Times New Roman"/>
          <w:color w:val="000000" w:themeColor="text1"/>
          <w:kern w:val="0"/>
          <w:sz w:val="24"/>
          <w:szCs w:val="21"/>
          <w:highlight w:val="none"/>
          <w14:textFill>
            <w14:solidFill>
              <w14:schemeClr w14:val="tx1"/>
            </w14:solidFill>
          </w14:textFill>
        </w:rPr>
        <w:t>根据企业提供的资料和监测结果，本项目</w:t>
      </w:r>
      <w:r>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t>大气污染物</w:t>
      </w:r>
      <w:r>
        <w:rPr>
          <w:rFonts w:hint="default" w:ascii="Times New Roman" w:hAnsi="Times New Roman" w:eastAsia="宋体" w:cs="Times New Roman"/>
          <w:color w:val="000000" w:themeColor="text1"/>
          <w:kern w:val="0"/>
          <w:sz w:val="24"/>
          <w:szCs w:val="21"/>
          <w:highlight w:val="none"/>
          <w14:textFill>
            <w14:solidFill>
              <w14:schemeClr w14:val="tx1"/>
            </w14:solidFill>
          </w14:textFill>
        </w:rPr>
        <w:t>实际排放量</w:t>
      </w:r>
      <w:r>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t>计算过程如下：</w:t>
      </w:r>
    </w:p>
    <w:p w14:paraId="4060687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t>本项目大气污染物颗粒物：</w:t>
      </w:r>
    </w:p>
    <w:p w14:paraId="4EFC65C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t>2.9m</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g/m</w:t>
      </w:r>
      <w:r>
        <w:rPr>
          <w:rFonts w:hint="default" w:ascii="Times New Roman" w:hAnsi="Times New Roman" w:eastAsia="宋体" w:cs="Times New Roman"/>
          <w:color w:val="000000" w:themeColor="text1"/>
          <w:kern w:val="2"/>
          <w:sz w:val="24"/>
          <w:szCs w:val="24"/>
          <w:highlight w:val="none"/>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1"/>
          <w:highlight w:val="none"/>
          <w:lang w:val="en-US" w:eastAsia="zh-CN"/>
          <w14:textFill>
            <w14:solidFill>
              <w14:schemeClr w14:val="tx1"/>
            </w14:solidFill>
          </w14:textFill>
        </w:rPr>
        <w:t>×</w:t>
      </w:r>
      <w:r>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t>20745</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2"/>
          <w:sz w:val="24"/>
          <w:szCs w:val="24"/>
          <w:highlight w:val="none"/>
          <w:vertAlign w:val="superscript"/>
          <w:lang w:val="en-US" w:eastAsia="zh-CN" w:bidi="ar-SA"/>
          <w14:textFill>
            <w14:solidFill>
              <w14:schemeClr w14:val="tx1"/>
            </w14:solidFill>
          </w14:textFill>
        </w:rPr>
        <w:t>3</w:t>
      </w:r>
      <w:r>
        <w:rPr>
          <w:rFonts w:hint="eastAsia" w:ascii="Times New Roman" w:hAnsi="Times New Roman" w:eastAsia="宋体" w:cs="Times New Roman"/>
          <w:color w:val="000000" w:themeColor="text1"/>
          <w:kern w:val="2"/>
          <w:sz w:val="24"/>
          <w:szCs w:val="24"/>
          <w:highlight w:val="none"/>
          <w:vertAlign w:val="superscript"/>
          <w:lang w:val="en-US" w:eastAsia="zh-CN" w:bidi="ar-SA"/>
          <w14:textFill>
            <w14:solidFill>
              <w14:schemeClr w14:val="tx1"/>
            </w14:solidFill>
          </w14:textFill>
        </w:rPr>
        <w:t>/</w:t>
      </w:r>
      <w:r>
        <w:rPr>
          <w:rFonts w:hint="eastAsia" w:ascii="Times New Roman" w:hAnsi="Times New Roman" w:eastAsia="宋体" w:cs="Times New Roman"/>
          <w:color w:val="000000" w:themeColor="text1"/>
          <w:kern w:val="2"/>
          <w:sz w:val="24"/>
          <w:szCs w:val="24"/>
          <w:highlight w:val="none"/>
          <w:vertAlign w:val="baseline"/>
          <w:lang w:val="en-US" w:eastAsia="zh-CN" w:bidi="ar-SA"/>
          <w14:textFill>
            <w14:solidFill>
              <w14:schemeClr w14:val="tx1"/>
            </w14:solidFill>
          </w14:textFill>
        </w:rPr>
        <w:t>h</w:t>
      </w:r>
      <w:r>
        <w:rPr>
          <w:rFonts w:hint="default"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t>×</w:t>
      </w:r>
      <w:r>
        <w:rPr>
          <w:rFonts w:hint="eastAsia"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t>1500h/a</w:t>
      </w:r>
      <w:r>
        <w:rPr>
          <w:rFonts w:hint="default" w:ascii="Times New Roman" w:hAnsi="Times New Roman" w:eastAsia="宋体" w:cs="Times New Roman"/>
          <w:color w:val="auto"/>
          <w:spacing w:val="5"/>
          <w:sz w:val="24"/>
          <w:highlight w:val="none"/>
        </w:rPr>
        <w:t>×10</w:t>
      </w:r>
      <w:r>
        <w:rPr>
          <w:rFonts w:hint="default" w:ascii="Times New Roman" w:hAnsi="Times New Roman" w:eastAsia="宋体" w:cs="Times New Roman"/>
          <w:color w:val="auto"/>
          <w:spacing w:val="5"/>
          <w:sz w:val="24"/>
          <w:highlight w:val="none"/>
          <w:vertAlign w:val="superscript"/>
        </w:rPr>
        <w:t>-</w:t>
      </w:r>
      <w:r>
        <w:rPr>
          <w:rFonts w:hint="eastAsia" w:ascii="Times New Roman" w:hAnsi="Times New Roman" w:eastAsia="宋体" w:cs="Times New Roman"/>
          <w:color w:val="auto"/>
          <w:spacing w:val="5"/>
          <w:sz w:val="24"/>
          <w:highlight w:val="none"/>
          <w:vertAlign w:val="superscript"/>
          <w:lang w:val="en-US" w:eastAsia="zh-CN"/>
        </w:rPr>
        <w:t>9</w:t>
      </w:r>
      <w:r>
        <w:rPr>
          <w:rFonts w:hint="eastAsia"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t>=0.090t/a</w:t>
      </w:r>
    </w:p>
    <w:p w14:paraId="78B744C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t>本项目大气污染物硫酸雾：</w:t>
      </w:r>
    </w:p>
    <w:p w14:paraId="05538DF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t>2.24m</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g/m</w:t>
      </w:r>
      <w:r>
        <w:rPr>
          <w:rFonts w:hint="default" w:ascii="Times New Roman" w:hAnsi="Times New Roman" w:eastAsia="宋体" w:cs="Times New Roman"/>
          <w:color w:val="000000" w:themeColor="text1"/>
          <w:kern w:val="2"/>
          <w:sz w:val="24"/>
          <w:szCs w:val="24"/>
          <w:highlight w:val="none"/>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t>×</w:t>
      </w:r>
      <w:r>
        <w:rPr>
          <w:rFonts w:hint="eastAsia"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t>2731</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2"/>
          <w:sz w:val="24"/>
          <w:szCs w:val="24"/>
          <w:highlight w:val="none"/>
          <w:vertAlign w:val="superscript"/>
          <w:lang w:val="en-US" w:eastAsia="zh-CN" w:bidi="ar-SA"/>
          <w14:textFill>
            <w14:solidFill>
              <w14:schemeClr w14:val="tx1"/>
            </w14:solidFill>
          </w14:textFill>
        </w:rPr>
        <w:t>3</w:t>
      </w:r>
      <w:r>
        <w:rPr>
          <w:rFonts w:hint="eastAsia" w:ascii="Times New Roman" w:hAnsi="Times New Roman" w:eastAsia="宋体" w:cs="Times New Roman"/>
          <w:color w:val="000000" w:themeColor="text1"/>
          <w:kern w:val="2"/>
          <w:sz w:val="24"/>
          <w:szCs w:val="24"/>
          <w:highlight w:val="none"/>
          <w:vertAlign w:val="superscript"/>
          <w:lang w:val="en-US" w:eastAsia="zh-CN" w:bidi="ar-SA"/>
          <w14:textFill>
            <w14:solidFill>
              <w14:schemeClr w14:val="tx1"/>
            </w14:solidFill>
          </w14:textFill>
        </w:rPr>
        <w:t>/</w:t>
      </w:r>
      <w:r>
        <w:rPr>
          <w:rFonts w:hint="eastAsia" w:ascii="Times New Roman" w:hAnsi="Times New Roman" w:eastAsia="宋体" w:cs="Times New Roman"/>
          <w:color w:val="000000" w:themeColor="text1"/>
          <w:kern w:val="2"/>
          <w:sz w:val="24"/>
          <w:szCs w:val="24"/>
          <w:highlight w:val="none"/>
          <w:vertAlign w:val="baseline"/>
          <w:lang w:val="en-US" w:eastAsia="zh-CN" w:bidi="ar-SA"/>
          <w14:textFill>
            <w14:solidFill>
              <w14:schemeClr w14:val="tx1"/>
            </w14:solidFill>
          </w14:textFill>
        </w:rPr>
        <w:t>h</w:t>
      </w:r>
      <w:r>
        <w:rPr>
          <w:rFonts w:hint="default"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t>×</w:t>
      </w:r>
      <w:r>
        <w:rPr>
          <w:rFonts w:hint="eastAsia"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t>1000h/a</w:t>
      </w:r>
      <w:r>
        <w:rPr>
          <w:rFonts w:hint="default" w:ascii="Times New Roman" w:hAnsi="Times New Roman" w:eastAsia="宋体" w:cs="Times New Roman"/>
          <w:color w:val="auto"/>
          <w:spacing w:val="5"/>
          <w:sz w:val="24"/>
          <w:highlight w:val="none"/>
        </w:rPr>
        <w:t>×10</w:t>
      </w:r>
      <w:r>
        <w:rPr>
          <w:rFonts w:hint="default" w:ascii="Times New Roman" w:hAnsi="Times New Roman" w:eastAsia="宋体" w:cs="Times New Roman"/>
          <w:color w:val="auto"/>
          <w:spacing w:val="5"/>
          <w:sz w:val="24"/>
          <w:highlight w:val="none"/>
          <w:vertAlign w:val="superscript"/>
        </w:rPr>
        <w:t>-</w:t>
      </w:r>
      <w:r>
        <w:rPr>
          <w:rFonts w:hint="eastAsia" w:ascii="Times New Roman" w:hAnsi="Times New Roman" w:eastAsia="宋体" w:cs="Times New Roman"/>
          <w:color w:val="auto"/>
          <w:spacing w:val="5"/>
          <w:sz w:val="24"/>
          <w:highlight w:val="none"/>
          <w:vertAlign w:val="superscript"/>
          <w:lang w:val="en-US" w:eastAsia="zh-CN"/>
        </w:rPr>
        <w:t>9</w:t>
      </w:r>
      <w:r>
        <w:rPr>
          <w:rFonts w:hint="eastAsia"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t>=0.006t/a</w:t>
      </w:r>
    </w:p>
    <w:p w14:paraId="233C3C3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t>根据检测报告核算颗粒物实际排放量为0.090t/a，硫酸雾实际排放量为0.006t/a。</w:t>
      </w:r>
    </w:p>
    <w:p w14:paraId="19967E0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kern w:val="0"/>
          <w:sz w:val="24"/>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t>综上，本项目污染物实际排放量为：颗粒物</w:t>
      </w:r>
      <w:r>
        <w:rPr>
          <w:rFonts w:hint="eastAsia"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t>0.090t/a、硫酸雾0.006t/a，</w:t>
      </w:r>
      <w:r>
        <w:rPr>
          <w:rFonts w:hint="default" w:ascii="Times New Roman" w:hAnsi="Times New Roman" w:eastAsia="宋体" w:cs="Times New Roman"/>
          <w:color w:val="000000" w:themeColor="text1"/>
          <w:kern w:val="0"/>
          <w:sz w:val="24"/>
          <w:szCs w:val="21"/>
          <w:highlight w:val="none"/>
          <w14:textFill>
            <w14:solidFill>
              <w14:schemeClr w14:val="tx1"/>
            </w14:solidFill>
          </w14:textFill>
        </w:rPr>
        <w:t>满足环评总量控制指</w:t>
      </w:r>
      <w:r>
        <w:rPr>
          <w:rFonts w:hint="default" w:ascii="Times New Roman" w:hAnsi="Times New Roman" w:eastAsia="宋体" w:cs="Times New Roman"/>
          <w:color w:val="000000" w:themeColor="text1"/>
          <w:kern w:val="0"/>
          <w:sz w:val="24"/>
          <w:szCs w:val="21"/>
          <w:highlight w:val="none"/>
          <w:lang w:val="en-US" w:eastAsia="zh-CN"/>
          <w14:textFill>
            <w14:solidFill>
              <w14:schemeClr w14:val="tx1"/>
            </w14:solidFill>
          </w14:textFill>
        </w:rPr>
        <w:t>标</w:t>
      </w:r>
      <w:r>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t>颗粒物0.375t/a；硫酸雾：0.01t/a；SO</w:t>
      </w:r>
      <w:r>
        <w:rPr>
          <w:rFonts w:hint="eastAsia" w:ascii="Times New Roman" w:hAnsi="Times New Roman" w:eastAsia="宋体" w:cs="Times New Roman"/>
          <w:color w:val="000000" w:themeColor="text1"/>
          <w:kern w:val="0"/>
          <w:sz w:val="24"/>
          <w:szCs w:val="21"/>
          <w:highlight w:val="none"/>
          <w:vertAlign w:val="subscript"/>
          <w:lang w:val="en-US" w:eastAsia="zh-CN"/>
          <w14:textFill>
            <w14:solidFill>
              <w14:schemeClr w14:val="tx1"/>
            </w14:solidFill>
          </w14:textFill>
        </w:rPr>
        <w:t>2</w:t>
      </w:r>
      <w:r>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t>：0t/a；NOx：0t/a；COD：0t/a；氨氮：0t/a；VOCs：0t/a</w:t>
      </w:r>
      <w:r>
        <w:rPr>
          <w:rFonts w:hint="default" w:ascii="Times New Roman" w:hAnsi="Times New Roman" w:eastAsia="宋体" w:cs="Times New Roman"/>
          <w:color w:val="000000" w:themeColor="text1"/>
          <w:kern w:val="0"/>
          <w:sz w:val="24"/>
          <w:szCs w:val="21"/>
          <w:highlight w:val="none"/>
          <w14:textFill>
            <w14:solidFill>
              <w14:schemeClr w14:val="tx1"/>
            </w14:solidFill>
          </w14:textFill>
        </w:rPr>
        <w:t>的要求。</w:t>
      </w:r>
    </w:p>
    <w:p w14:paraId="16DB0F6E">
      <w:pPr>
        <w:pStyle w:val="4"/>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p>
    <w:p w14:paraId="389F2C50">
      <w:pPr>
        <w:rPr>
          <w:rFonts w:hint="default"/>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34430D20">
      <w:pPr>
        <w:pStyle w:val="4"/>
        <w:keepNext/>
        <w:keepLines/>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highlight w:val="none"/>
          <w14:textFill>
            <w14:solidFill>
              <w14:schemeClr w14:val="tx1"/>
            </w14:solidFill>
          </w14:textFill>
        </w:rPr>
      </w:pPr>
      <w:bookmarkStart w:id="39" w:name="_Toc25835"/>
      <w:r>
        <w:rPr>
          <w:rFonts w:hint="default" w:ascii="Times New Roman" w:hAnsi="Times New Roman" w:eastAsia="宋体" w:cs="Times New Roman"/>
          <w:color w:val="000000" w:themeColor="text1"/>
          <w:highlight w:val="none"/>
          <w14:textFill>
            <w14:solidFill>
              <w14:schemeClr w14:val="tx1"/>
            </w14:solidFill>
          </w14:textFill>
        </w:rPr>
        <w:t>10</w:t>
      </w:r>
      <w:r>
        <w:rPr>
          <w:rFonts w:hint="eastAsia" w:ascii="宋体" w:hAnsi="宋体" w:eastAsia="宋体" w:cs="宋体"/>
          <w:color w:val="000000" w:themeColor="text1"/>
          <w:highlight w:val="none"/>
          <w14:textFill>
            <w14:solidFill>
              <w14:schemeClr w14:val="tx1"/>
            </w14:solidFill>
          </w14:textFill>
        </w:rPr>
        <w:t>验收监测结论</w:t>
      </w:r>
      <w:bookmarkEnd w:id="39"/>
    </w:p>
    <w:p w14:paraId="61CE85F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Times New Roman" w:hAnsi="Times New Roman" w:eastAsiaTheme="minorEastAsia"/>
          <w:bCs/>
          <w:color w:val="000000" w:themeColor="text1"/>
          <w:sz w:val="24"/>
          <w:szCs w:val="24"/>
          <w:highlight w:val="none"/>
          <w14:textFill>
            <w14:solidFill>
              <w14:schemeClr w14:val="tx1"/>
            </w14:solidFill>
          </w14:textFill>
        </w:rPr>
      </w:pPr>
      <w:r>
        <w:rPr>
          <w:rFonts w:hint="eastAsia" w:ascii="Times New Roman" w:hAnsi="Times New Roman" w:eastAsiaTheme="minorEastAsia"/>
          <w:bCs/>
          <w:color w:val="000000" w:themeColor="text1"/>
          <w:sz w:val="24"/>
          <w:szCs w:val="24"/>
          <w:highlight w:val="none"/>
          <w:lang w:val="en-US" w:eastAsia="zh-CN"/>
          <w14:textFill>
            <w14:solidFill>
              <w14:schemeClr w14:val="tx1"/>
            </w14:solidFill>
          </w14:textFill>
        </w:rPr>
        <w:t>验收</w:t>
      </w:r>
      <w:r>
        <w:rPr>
          <w:rFonts w:hint="eastAsia" w:ascii="Times New Roman" w:hAnsi="Times New Roman" w:eastAsiaTheme="minorEastAsia"/>
          <w:bCs/>
          <w:color w:val="000000" w:themeColor="text1"/>
          <w:sz w:val="24"/>
          <w:szCs w:val="24"/>
          <w:highlight w:val="none"/>
          <w14:textFill>
            <w14:solidFill>
              <w14:schemeClr w14:val="tx1"/>
            </w14:solidFill>
          </w14:textFill>
        </w:rPr>
        <w:t>检测期间，企业生产正常，设施运行稳定，满足验收检测技术规范要求。</w:t>
      </w:r>
    </w:p>
    <w:p w14:paraId="075D15DB">
      <w:pPr>
        <w:widowControl/>
        <w:spacing w:line="360" w:lineRule="auto"/>
        <w:ind w:firstLine="480" w:firstLineChars="200"/>
        <w:rPr>
          <w:rFonts w:ascii="Times New Roman" w:hAnsi="Times New Roman" w:eastAsia="宋体"/>
          <w:color w:val="000000" w:themeColor="text1"/>
          <w:sz w:val="24"/>
          <w:szCs w:val="24"/>
          <w:highlight w:val="none"/>
          <w14:textFill>
            <w14:solidFill>
              <w14:schemeClr w14:val="tx1"/>
            </w14:solidFill>
          </w14:textFill>
        </w:rPr>
      </w:pPr>
      <w:bookmarkStart w:id="40" w:name="_Hlk496999304"/>
      <w:r>
        <w:rPr>
          <w:rFonts w:hint="eastAsia" w:ascii="Times New Roman" w:hAnsi="Times New Roman" w:cs="Times New Roman" w:eastAsiaTheme="minorEastAsia"/>
          <w:bCs/>
          <w:color w:val="000000" w:themeColor="text1"/>
          <w:sz w:val="24"/>
          <w:szCs w:val="24"/>
          <w:highlight w:val="none"/>
          <w:lang w:val="en-US" w:eastAsia="zh-CN"/>
          <w14:textFill>
            <w14:solidFill>
              <w14:schemeClr w14:val="tx1"/>
            </w14:solidFill>
          </w14:textFill>
        </w:rPr>
        <w:t>唐山市康泰科技有限公司</w:t>
      </w:r>
      <w:r>
        <w:rPr>
          <w:rFonts w:hint="eastAsia" w:ascii="Times New Roman" w:hAnsi="Times New Roman" w:cs="Times New Roman" w:eastAsiaTheme="minorEastAsia"/>
          <w:bCs/>
          <w:color w:val="000000" w:themeColor="text1"/>
          <w:sz w:val="24"/>
          <w:szCs w:val="24"/>
          <w:highlight w:val="none"/>
          <w:lang w:eastAsia="zh-CN"/>
          <w14:textFill>
            <w14:solidFill>
              <w14:schemeClr w14:val="tx1"/>
            </w14:solidFill>
          </w14:textFill>
        </w:rPr>
        <w:t>年产羊肉片机5000台新建项目</w:t>
      </w:r>
      <w:r>
        <w:rPr>
          <w:rFonts w:hint="eastAsia" w:ascii="Times New Roman" w:hAnsi="Times New Roman" w:eastAsiaTheme="minorEastAsia"/>
          <w:bCs/>
          <w:color w:val="000000" w:themeColor="text1"/>
          <w:sz w:val="24"/>
          <w:szCs w:val="24"/>
          <w:highlight w:val="none"/>
          <w14:textFill>
            <w14:solidFill>
              <w14:schemeClr w14:val="tx1"/>
            </w14:solidFill>
          </w14:textFill>
        </w:rPr>
        <w:t>环评及环保审批手续齐全，项目执行了环保“三同时”制度，落实了环境影响评价文件及审批意见的有关要求。</w:t>
      </w:r>
      <w:r>
        <w:rPr>
          <w:rFonts w:hint="eastAsia" w:ascii="Times New Roman" w:hAnsi="Times New Roman" w:eastAsiaTheme="minorEastAsia"/>
          <w:bCs/>
          <w:color w:val="000000" w:themeColor="text1"/>
          <w:sz w:val="24"/>
          <w:szCs w:val="24"/>
          <w:highlight w:val="none"/>
          <w:lang w:val="en-US" w:eastAsia="zh-CN"/>
          <w14:textFill>
            <w14:solidFill>
              <w14:schemeClr w14:val="tx1"/>
            </w14:solidFill>
          </w14:textFill>
        </w:rPr>
        <w:t>废水、</w:t>
      </w:r>
      <w:r>
        <w:rPr>
          <w:rFonts w:hint="eastAsia" w:ascii="Times New Roman" w:hAnsi="Times New Roman" w:eastAsiaTheme="minorEastAsia"/>
          <w:bCs/>
          <w:color w:val="000000" w:themeColor="text1"/>
          <w:sz w:val="24"/>
          <w:szCs w:val="24"/>
          <w:highlight w:val="none"/>
          <w14:textFill>
            <w14:solidFill>
              <w14:schemeClr w14:val="tx1"/>
            </w14:solidFill>
          </w14:textFill>
        </w:rPr>
        <w:t>废气</w:t>
      </w:r>
      <w:r>
        <w:rPr>
          <w:rFonts w:hint="eastAsia" w:ascii="Times New Roman" w:hAnsi="Times New Roman" w:eastAsiaTheme="minorEastAsia"/>
          <w:bCs/>
          <w:color w:val="000000" w:themeColor="text1"/>
          <w:sz w:val="24"/>
          <w:szCs w:val="24"/>
          <w:highlight w:val="none"/>
          <w:lang w:eastAsia="zh-CN"/>
          <w14:textFill>
            <w14:solidFill>
              <w14:schemeClr w14:val="tx1"/>
            </w14:solidFill>
          </w14:textFill>
        </w:rPr>
        <w:t>、</w:t>
      </w:r>
      <w:r>
        <w:rPr>
          <w:rFonts w:hint="eastAsia" w:ascii="Times New Roman" w:hAnsi="Times New Roman" w:eastAsiaTheme="minorEastAsia"/>
          <w:bCs/>
          <w:color w:val="000000" w:themeColor="text1"/>
          <w:sz w:val="24"/>
          <w:szCs w:val="24"/>
          <w:highlight w:val="none"/>
          <w14:textFill>
            <w14:solidFill>
              <w14:schemeClr w14:val="tx1"/>
            </w14:solidFill>
          </w14:textFill>
        </w:rPr>
        <w:t>噪声排放均符合国家规定的排放标准要求，同意通过该项目竣工环保验收。</w:t>
      </w:r>
    </w:p>
    <w:bookmarkEnd w:id="40"/>
    <w:p w14:paraId="34A119E3">
      <w:pPr>
        <w:spacing w:line="440" w:lineRule="exact"/>
        <w:ind w:firstLine="480" w:firstLineChars="200"/>
        <w:rPr>
          <w:rFonts w:ascii="Times New Roman" w:hAnsi="Times New Roman" w:eastAsiaTheme="minorEastAsia"/>
          <w:color w:val="000000" w:themeColor="text1"/>
          <w:sz w:val="24"/>
          <w:szCs w:val="24"/>
          <w:highlight w:val="none"/>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4A95C86D">
      <w:pPr>
        <w:keepNext w:val="0"/>
        <w:keepLines w:val="0"/>
        <w:pageBreakBefore w:val="0"/>
        <w:widowControl w:val="0"/>
        <w:kinsoku/>
        <w:wordWrap/>
        <w:overflowPunct/>
        <w:topLinePunct w:val="0"/>
        <w:autoSpaceDE/>
        <w:autoSpaceDN/>
        <w:bidi w:val="0"/>
        <w:adjustRightInd/>
        <w:snapToGrid/>
        <w:spacing w:before="156" w:beforeLines="50" w:after="312" w:afterLines="100"/>
        <w:jc w:val="center"/>
        <w:textAlignment w:val="auto"/>
        <w:outlineLvl w:val="0"/>
        <w:rPr>
          <w:rFonts w:ascii="Times New Roman" w:hAnsi="Times New Roman" w:eastAsiaTheme="minorEastAsia"/>
          <w:color w:val="auto"/>
          <w:highlight w:val="none"/>
        </w:rPr>
      </w:pPr>
      <w:bookmarkStart w:id="41" w:name="_Toc10076"/>
      <w:r>
        <w:rPr>
          <w:rFonts w:hint="eastAsia" w:ascii="Times New Roman" w:hAnsi="Times New Roman" w:eastAsiaTheme="minorEastAsia"/>
          <w:color w:val="FFFFFF" w:themeColor="background1"/>
          <w:highlight w:val="none"/>
          <w:lang w:val="en-US" w:eastAsia="zh-CN"/>
          <w14:textFill>
            <w14:solidFill>
              <w14:schemeClr w14:val="bg1"/>
            </w14:solidFill>
          </w14:textFill>
        </w:rPr>
        <w:t>11</w:t>
      </w:r>
      <w:r>
        <w:rPr>
          <w:rFonts w:ascii="Times New Roman" w:hAnsi="Times New Roman" w:eastAsiaTheme="minorEastAsia"/>
          <w:color w:val="auto"/>
          <w:highlight w:val="none"/>
        </w:rPr>
        <w:t>建设项目工程竣工环境保护“三同时”验收登记表</w:t>
      </w:r>
      <w:bookmarkEnd w:id="41"/>
    </w:p>
    <w:p w14:paraId="16CC6214">
      <w:pPr>
        <w:ind w:firstLine="420" w:firstLineChars="200"/>
        <w:rPr>
          <w:rFonts w:ascii="Times New Roman" w:hAnsi="Times New Roman" w:eastAsiaTheme="minorEastAsia"/>
          <w:color w:val="auto"/>
          <w:highlight w:val="none"/>
        </w:rPr>
      </w:pPr>
      <w:r>
        <w:rPr>
          <w:rFonts w:ascii="Times New Roman" w:hAnsi="Times New Roman" w:eastAsiaTheme="minorEastAsia"/>
          <w:color w:val="auto"/>
          <w:highlight w:val="none"/>
        </w:rPr>
        <w:t>填表单位（盖章）：</w:t>
      </w:r>
      <w:r>
        <w:rPr>
          <w:rFonts w:hint="eastAsia" w:ascii="Times New Roman" w:hAnsi="Times New Roman" w:cs="Times New Roman" w:eastAsiaTheme="minorEastAsia"/>
          <w:color w:val="auto"/>
          <w:highlight w:val="none"/>
          <w:lang w:val="en-US" w:eastAsia="zh-CN"/>
        </w:rPr>
        <w:t xml:space="preserve">唐山市康泰科技有限公司   </w:t>
      </w:r>
      <w:r>
        <w:rPr>
          <w:rFonts w:hint="eastAsia" w:ascii="Times New Roman" w:hAnsi="Times New Roman" w:cs="Times New Roman" w:eastAsiaTheme="minorEastAsia"/>
          <w:color w:val="auto"/>
          <w:highlight w:val="none"/>
          <w:lang w:eastAsia="zh-CN"/>
        </w:rPr>
        <w:t xml:space="preserve">  </w:t>
      </w:r>
      <w:r>
        <w:rPr>
          <w:rFonts w:ascii="Times New Roman" w:hAnsi="Times New Roman" w:cs="Times New Roman" w:eastAsiaTheme="minorEastAsia"/>
          <w:color w:val="auto"/>
          <w:highlight w:val="none"/>
        </w:rPr>
        <w:t xml:space="preserve"> </w:t>
      </w:r>
      <w:r>
        <w:rPr>
          <w:rFonts w:ascii="Times New Roman" w:hAnsi="Times New Roman" w:eastAsiaTheme="minorEastAsia"/>
          <w:color w:val="auto"/>
          <w:highlight w:val="none"/>
        </w:rPr>
        <w:t xml:space="preserve">               填表人（签字）：                            项目经办人（签字）：</w:t>
      </w:r>
    </w:p>
    <w:tbl>
      <w:tblPr>
        <w:tblStyle w:val="32"/>
        <w:tblW w:w="156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
        <w:gridCol w:w="165"/>
        <w:gridCol w:w="872"/>
        <w:gridCol w:w="932"/>
        <w:gridCol w:w="723"/>
        <w:gridCol w:w="142"/>
        <w:gridCol w:w="1134"/>
        <w:gridCol w:w="784"/>
        <w:gridCol w:w="350"/>
        <w:gridCol w:w="992"/>
        <w:gridCol w:w="708"/>
        <w:gridCol w:w="426"/>
        <w:gridCol w:w="1134"/>
        <w:gridCol w:w="215"/>
        <w:gridCol w:w="855"/>
        <w:gridCol w:w="1508"/>
        <w:gridCol w:w="445"/>
        <w:gridCol w:w="455"/>
        <w:gridCol w:w="504"/>
        <w:gridCol w:w="764"/>
        <w:gridCol w:w="229"/>
        <w:gridCol w:w="480"/>
        <w:gridCol w:w="618"/>
        <w:gridCol w:w="348"/>
        <w:gridCol w:w="510"/>
      </w:tblGrid>
      <w:tr w14:paraId="18873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360" w:type="dxa"/>
            <w:vMerge w:val="restart"/>
            <w:shd w:val="clear" w:color="auto" w:fill="auto"/>
          </w:tcPr>
          <w:p w14:paraId="3A086EA3">
            <w:pPr>
              <w:spacing w:line="260" w:lineRule="exact"/>
              <w:rPr>
                <w:rFonts w:ascii="Times New Roman" w:hAnsi="Times New Roman" w:eastAsiaTheme="minorEastAsia"/>
                <w:color w:val="auto"/>
                <w:sz w:val="15"/>
                <w:szCs w:val="15"/>
                <w:highlight w:val="none"/>
              </w:rPr>
            </w:pPr>
          </w:p>
          <w:p w14:paraId="5F3DC22F">
            <w:pPr>
              <w:spacing w:line="260" w:lineRule="exact"/>
              <w:rPr>
                <w:rFonts w:ascii="Times New Roman" w:hAnsi="Times New Roman" w:eastAsiaTheme="minorEastAsia"/>
                <w:color w:val="auto"/>
                <w:sz w:val="15"/>
                <w:szCs w:val="15"/>
                <w:highlight w:val="none"/>
              </w:rPr>
            </w:pPr>
          </w:p>
          <w:p w14:paraId="45855218">
            <w:pPr>
              <w:spacing w:line="260" w:lineRule="exact"/>
              <w:rPr>
                <w:rFonts w:ascii="Times New Roman" w:hAnsi="Times New Roman" w:eastAsiaTheme="minorEastAsia"/>
                <w:color w:val="auto"/>
                <w:sz w:val="15"/>
                <w:szCs w:val="15"/>
                <w:highlight w:val="none"/>
              </w:rPr>
            </w:pPr>
          </w:p>
          <w:p w14:paraId="3A7A0092">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建设项目</w:t>
            </w:r>
          </w:p>
        </w:tc>
        <w:tc>
          <w:tcPr>
            <w:tcW w:w="1969" w:type="dxa"/>
            <w:gridSpan w:val="3"/>
            <w:shd w:val="clear" w:color="auto" w:fill="auto"/>
            <w:vAlign w:val="center"/>
          </w:tcPr>
          <w:p w14:paraId="66B95224">
            <w:pPr>
              <w:spacing w:line="260" w:lineRule="exact"/>
              <w:jc w:val="both"/>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项目名称</w:t>
            </w:r>
          </w:p>
        </w:tc>
        <w:tc>
          <w:tcPr>
            <w:tcW w:w="4833" w:type="dxa"/>
            <w:gridSpan w:val="7"/>
            <w:shd w:val="clear" w:color="auto" w:fill="auto"/>
            <w:vAlign w:val="center"/>
          </w:tcPr>
          <w:p w14:paraId="3197D38C">
            <w:pPr>
              <w:spacing w:line="260" w:lineRule="exact"/>
              <w:jc w:val="left"/>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年产羊肉片机5000台新建项目</w:t>
            </w:r>
          </w:p>
        </w:tc>
        <w:tc>
          <w:tcPr>
            <w:tcW w:w="1775" w:type="dxa"/>
            <w:gridSpan w:val="3"/>
            <w:shd w:val="clear" w:color="auto" w:fill="auto"/>
            <w:vAlign w:val="center"/>
          </w:tcPr>
          <w:p w14:paraId="537ABCDB">
            <w:pPr>
              <w:spacing w:line="260" w:lineRule="exact"/>
              <w:jc w:val="both"/>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项目代码</w:t>
            </w:r>
          </w:p>
        </w:tc>
        <w:tc>
          <w:tcPr>
            <w:tcW w:w="2363" w:type="dxa"/>
            <w:gridSpan w:val="2"/>
            <w:shd w:val="clear" w:color="auto" w:fill="auto"/>
            <w:vAlign w:val="center"/>
          </w:tcPr>
          <w:p w14:paraId="194D6BBB">
            <w:pPr>
              <w:spacing w:line="260" w:lineRule="exact"/>
              <w:jc w:val="center"/>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2018-130287-35-03-000129</w:t>
            </w:r>
          </w:p>
        </w:tc>
        <w:tc>
          <w:tcPr>
            <w:tcW w:w="900" w:type="dxa"/>
            <w:gridSpan w:val="2"/>
            <w:shd w:val="clear" w:color="auto" w:fill="auto"/>
          </w:tcPr>
          <w:p w14:paraId="292FA7C1">
            <w:pPr>
              <w:spacing w:line="260" w:lineRule="exact"/>
              <w:rPr>
                <w:rFonts w:hint="default" w:ascii="Times New Roman" w:hAnsi="Times New Roman" w:cs="Times New Roman" w:eastAsiaTheme="minorEastAsia"/>
                <w:color w:val="auto"/>
                <w:sz w:val="15"/>
                <w:szCs w:val="15"/>
                <w:highlight w:val="none"/>
                <w:lang w:val="en-US" w:eastAsia="zh-CN"/>
              </w:rPr>
            </w:pPr>
            <w:r>
              <w:rPr>
                <w:rFonts w:hint="default" w:ascii="Times New Roman" w:hAnsi="Times New Roman" w:cs="Times New Roman" w:eastAsiaTheme="minorEastAsia"/>
                <w:color w:val="auto"/>
                <w:sz w:val="15"/>
                <w:szCs w:val="15"/>
                <w:highlight w:val="none"/>
                <w:lang w:val="en-US" w:eastAsia="zh-CN"/>
              </w:rPr>
              <w:t>建设地点</w:t>
            </w:r>
          </w:p>
        </w:tc>
        <w:tc>
          <w:tcPr>
            <w:tcW w:w="3453" w:type="dxa"/>
            <w:gridSpan w:val="7"/>
            <w:shd w:val="clear" w:color="auto" w:fill="auto"/>
          </w:tcPr>
          <w:p w14:paraId="60A6C533">
            <w:pPr>
              <w:spacing w:line="260" w:lineRule="exact"/>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项目位于河北玉田经济开发区鸦鸿桥产业园（孙各庄村）</w:t>
            </w:r>
          </w:p>
        </w:tc>
      </w:tr>
      <w:tr w14:paraId="4F9C7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 w:type="dxa"/>
            <w:vMerge w:val="continue"/>
            <w:shd w:val="clear" w:color="auto" w:fill="auto"/>
          </w:tcPr>
          <w:p w14:paraId="6E158233">
            <w:pPr>
              <w:spacing w:line="260" w:lineRule="exact"/>
              <w:rPr>
                <w:rFonts w:ascii="Times New Roman" w:hAnsi="Times New Roman" w:eastAsiaTheme="minorEastAsia"/>
                <w:color w:val="auto"/>
                <w:sz w:val="15"/>
                <w:szCs w:val="15"/>
                <w:highlight w:val="none"/>
              </w:rPr>
            </w:pPr>
          </w:p>
        </w:tc>
        <w:tc>
          <w:tcPr>
            <w:tcW w:w="1969" w:type="dxa"/>
            <w:gridSpan w:val="3"/>
            <w:shd w:val="clear" w:color="auto" w:fill="auto"/>
            <w:vAlign w:val="center"/>
          </w:tcPr>
          <w:p w14:paraId="72694D81">
            <w:pPr>
              <w:spacing w:line="260" w:lineRule="exact"/>
              <w:jc w:val="both"/>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行业分类(分类管理名录)</w:t>
            </w:r>
          </w:p>
        </w:tc>
        <w:tc>
          <w:tcPr>
            <w:tcW w:w="4833" w:type="dxa"/>
            <w:gridSpan w:val="7"/>
            <w:shd w:val="clear" w:color="auto" w:fill="auto"/>
          </w:tcPr>
          <w:p w14:paraId="6E4B84B9">
            <w:pPr>
              <w:spacing w:line="260" w:lineRule="exact"/>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第三十二专用设备制造35-70食品、饮料、烟草及饲料生产专用设备制造353</w:t>
            </w:r>
          </w:p>
        </w:tc>
        <w:tc>
          <w:tcPr>
            <w:tcW w:w="1775" w:type="dxa"/>
            <w:gridSpan w:val="3"/>
            <w:shd w:val="clear" w:color="auto" w:fill="auto"/>
            <w:vAlign w:val="center"/>
          </w:tcPr>
          <w:p w14:paraId="7B7BC5F7">
            <w:pPr>
              <w:spacing w:line="260" w:lineRule="exact"/>
              <w:jc w:val="both"/>
              <w:rPr>
                <w:rFonts w:hint="eastAsia" w:ascii="Times New Roman" w:hAnsi="Times New Roman" w:eastAsiaTheme="minorEastAsia"/>
                <w:color w:val="auto"/>
                <w:sz w:val="15"/>
                <w:szCs w:val="15"/>
                <w:highlight w:val="none"/>
                <w:lang w:val="en-US" w:eastAsia="zh-CN"/>
              </w:rPr>
            </w:pPr>
            <w:r>
              <w:rPr>
                <w:rFonts w:ascii="Times New Roman" w:hAnsi="Times New Roman" w:eastAsiaTheme="minorEastAsia"/>
                <w:color w:val="auto"/>
                <w:sz w:val="15"/>
                <w:szCs w:val="15"/>
                <w:highlight w:val="none"/>
              </w:rPr>
              <w:t>建设性质</w:t>
            </w:r>
          </w:p>
        </w:tc>
        <w:tc>
          <w:tcPr>
            <w:tcW w:w="6716" w:type="dxa"/>
            <w:gridSpan w:val="11"/>
            <w:shd w:val="clear" w:color="auto" w:fill="auto"/>
          </w:tcPr>
          <w:p w14:paraId="5DD6341B">
            <w:pPr>
              <w:spacing w:line="260" w:lineRule="exact"/>
              <w:ind w:firstLine="150" w:firstLineChars="100"/>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mc:AlternateContent>
                <mc:Choice Requires="wps">
                  <w:drawing>
                    <wp:anchor distT="0" distB="0" distL="114300" distR="114300" simplePos="0" relativeHeight="251661312" behindDoc="0" locked="0" layoutInCell="1" allowOverlap="1">
                      <wp:simplePos x="0" y="0"/>
                      <wp:positionH relativeFrom="column">
                        <wp:posOffset>373380</wp:posOffset>
                      </wp:positionH>
                      <wp:positionV relativeFrom="paragraph">
                        <wp:posOffset>64135</wp:posOffset>
                      </wp:positionV>
                      <wp:extent cx="66675" cy="71120"/>
                      <wp:effectExtent l="6350" t="6350" r="22225" b="17780"/>
                      <wp:wrapNone/>
                      <wp:docPr id="35" name="矩形 35"/>
                      <wp:cNvGraphicFramePr/>
                      <a:graphic xmlns:a="http://schemas.openxmlformats.org/drawingml/2006/main">
                        <a:graphicData uri="http://schemas.microsoft.com/office/word/2010/wordprocessingShape">
                          <wps:wsp>
                            <wps:cNvSpPr/>
                            <wps:spPr>
                              <a:xfrm>
                                <a:off x="0" y="0"/>
                                <a:ext cx="66675" cy="7112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9.4pt;margin-top:5.05pt;height:5.6pt;width:5.25pt;z-index:251661312;v-text-anchor:middle;mso-width-relative:page;mso-height-relative:page;" filled="f" stroked="t" coordsize="21600,21600" o:gfxdata="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&#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JDtL2XWAAAABwEAAA8AAAAAAAAAAQAgAAAAIgAAAGRy&#10;cy9kb3ducmV2LnhtbFBLAQIUABQAAAAIAIdO4kBfS3X8eQIAAOwEAAAOAAAAAAAAAAEAIAAAACUB&#10;AABkcnMvZTJvRG9jLnhtbFBLBQYAAAAABgAGAFkBAAAQBgAAAAA=&#10;">
                      <v:fill on="f" focussize="0,0"/>
                      <v:stroke weight="1pt" color="#000000" miterlimit="8" joinstyle="miter"/>
                      <v:imagedata o:title=""/>
                      <o:lock v:ext="edit" aspectratio="f"/>
                    </v:rect>
                  </w:pict>
                </mc:Fallback>
              </mc:AlternateContent>
            </w:r>
            <w:r>
              <w:rPr>
                <w:rFonts w:ascii="Times New Roman" w:hAnsi="Times New Roman" w:eastAsiaTheme="minorEastAsia"/>
                <w:color w:val="auto"/>
                <w:sz w:val="15"/>
                <w:szCs w:val="15"/>
                <w:highlight w:val="none"/>
              </w:rPr>
              <mc:AlternateContent>
                <mc:Choice Requires="wps">
                  <w:drawing>
                    <wp:anchor distT="0" distB="0" distL="114300" distR="114300" simplePos="0" relativeHeight="251660288" behindDoc="0" locked="0" layoutInCell="1" allowOverlap="1">
                      <wp:simplePos x="0" y="0"/>
                      <wp:positionH relativeFrom="column">
                        <wp:posOffset>859790</wp:posOffset>
                      </wp:positionH>
                      <wp:positionV relativeFrom="paragraph">
                        <wp:posOffset>63500</wp:posOffset>
                      </wp:positionV>
                      <wp:extent cx="66675" cy="71120"/>
                      <wp:effectExtent l="6350" t="6350" r="22225" b="17780"/>
                      <wp:wrapNone/>
                      <wp:docPr id="34" name="矩形 34"/>
                      <wp:cNvGraphicFramePr/>
                      <a:graphic xmlns:a="http://schemas.openxmlformats.org/drawingml/2006/main">
                        <a:graphicData uri="http://schemas.microsoft.com/office/word/2010/wordprocessingShape">
                          <wps:wsp>
                            <wps:cNvSpPr/>
                            <wps:spPr>
                              <a:xfrm>
                                <a:off x="0" y="0"/>
                                <a:ext cx="66675" cy="7112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7.7pt;margin-top:5pt;height:5.6pt;width:5.25pt;z-index:251660288;v-text-anchor:middle;mso-width-relative:page;mso-height-relative:page;" filled="f" stroked="t" coordsize="21600,21600" o:gfxdata="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AAAAAZHJzL1BLAQIUABQAAAAIAIdO4kD4UAU+1gAAAAkBAAAPAAAAAAAAAAEAIAAAACIAAABk&#10;cnMvZG93bnJldi54bWxQSwECFAAUAAAACACHTuJATNTXO3oCAADsBAAADgAAAAAAAAABACAAAAAl&#10;AQAAZHJzL2Uyb0RvYy54bWxQSwUGAAAAAAYABgBZAQAAEQYAAAAA&#10;">
                      <v:fill on="f" focussize="0,0"/>
                      <v:stroke weight="1pt" color="#000000" miterlimit="8" joinstyle="miter"/>
                      <v:imagedata o:title=""/>
                      <o:lock v:ext="edit" aspectratio="f"/>
                    </v:rect>
                  </w:pict>
                </mc:Fallback>
              </mc:AlternateContent>
            </w:r>
            <w:r>
              <w:rPr>
                <w:rFonts w:ascii="Times New Roman" w:hAnsi="Times New Roman" w:eastAsiaTheme="minorEastAsia"/>
                <w:color w:val="auto"/>
                <w:sz w:val="15"/>
                <w:szCs w:val="15"/>
                <w:highlight w:val="none"/>
              </w:rPr>
              <mc:AlternateContent>
                <mc:Choice Requires="wps">
                  <w:drawing>
                    <wp:anchor distT="0" distB="0" distL="114300" distR="114300" simplePos="0" relativeHeight="251662336" behindDoc="0" locked="0" layoutInCell="1" allowOverlap="1">
                      <wp:simplePos x="0" y="0"/>
                      <wp:positionH relativeFrom="column">
                        <wp:posOffset>-4445</wp:posOffset>
                      </wp:positionH>
                      <wp:positionV relativeFrom="paragraph">
                        <wp:posOffset>63500</wp:posOffset>
                      </wp:positionV>
                      <wp:extent cx="66675" cy="71120"/>
                      <wp:effectExtent l="6350" t="6350" r="22225" b="17780"/>
                      <wp:wrapNone/>
                      <wp:docPr id="33" name="矩形 33"/>
                      <wp:cNvGraphicFramePr/>
                      <a:graphic xmlns:a="http://schemas.openxmlformats.org/drawingml/2006/main">
                        <a:graphicData uri="http://schemas.microsoft.com/office/word/2010/wordprocessingShape">
                          <wps:wsp>
                            <wps:cNvSpPr/>
                            <wps:spPr>
                              <a:xfrm>
                                <a:off x="0" y="0"/>
                                <a:ext cx="66675" cy="71120"/>
                              </a:xfrm>
                              <a:prstGeom prst="rect">
                                <a:avLst/>
                              </a:prstGeom>
                              <a:solidFill>
                                <a:schemeClr val="tx1"/>
                              </a:solidFill>
                              <a:ln w="127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0.35pt;margin-top:5pt;height:5.6pt;width:5.25pt;z-index:251662336;v-text-anchor:middle;mso-width-relative:page;mso-height-relative:page;" fillcolor="#000000 [3213]" filled="t" stroked="t" coordsize="21600,21600" o:gfxdata="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1UtBltUAAAAFAQAADwAAAAAAAAABACAAAAAiAAAAZHJzL2Rvd25yZXYu&#10;eG1sUEsBAhQAFAAAAAgAh07iQGNkfHZwAgAAAQUAAA4AAAAAAAAAAQAgAAAAJAEAAGRycy9lMm9E&#10;b2MueG1sUEsFBgAAAAAGAAYAWQEAAAYGAAAAAA==&#10;">
                      <v:fill on="t" focussize="0,0"/>
                      <v:stroke weight="1pt" color="#000000 [3213]" miterlimit="8" joinstyle="miter"/>
                      <v:imagedata o:title=""/>
                      <o:lock v:ext="edit" aspectratio="f"/>
                    </v:rect>
                  </w:pict>
                </mc:Fallback>
              </mc:AlternateContent>
            </w:r>
            <w:r>
              <w:rPr>
                <w:rFonts w:ascii="Times New Roman" w:hAnsi="Times New Roman" w:eastAsiaTheme="minorEastAsia"/>
                <w:color w:val="auto"/>
                <w:sz w:val="15"/>
                <w:szCs w:val="15"/>
                <w:highlight w:val="none"/>
              </w:rPr>
              <w:t>新建    改扩建    技术改造</w:t>
            </w:r>
          </w:p>
        </w:tc>
      </w:tr>
      <w:tr w14:paraId="545F0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360" w:type="dxa"/>
            <w:vMerge w:val="continue"/>
            <w:shd w:val="clear" w:color="auto" w:fill="auto"/>
          </w:tcPr>
          <w:p w14:paraId="6DA37E65">
            <w:pPr>
              <w:spacing w:line="260" w:lineRule="exact"/>
              <w:rPr>
                <w:rFonts w:ascii="Times New Roman" w:hAnsi="Times New Roman" w:eastAsiaTheme="minorEastAsia"/>
                <w:color w:val="auto"/>
                <w:sz w:val="15"/>
                <w:szCs w:val="15"/>
                <w:highlight w:val="none"/>
              </w:rPr>
            </w:pPr>
          </w:p>
        </w:tc>
        <w:tc>
          <w:tcPr>
            <w:tcW w:w="1969" w:type="dxa"/>
            <w:gridSpan w:val="3"/>
            <w:shd w:val="clear" w:color="auto" w:fill="auto"/>
          </w:tcPr>
          <w:p w14:paraId="2E5758D0">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设计生产能力</w:t>
            </w:r>
          </w:p>
        </w:tc>
        <w:tc>
          <w:tcPr>
            <w:tcW w:w="4833" w:type="dxa"/>
            <w:gridSpan w:val="7"/>
            <w:shd w:val="clear" w:color="auto" w:fill="auto"/>
          </w:tcPr>
          <w:p w14:paraId="74F15A82">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年产羊肉片机5000台</w:t>
            </w:r>
          </w:p>
        </w:tc>
        <w:tc>
          <w:tcPr>
            <w:tcW w:w="1775" w:type="dxa"/>
            <w:gridSpan w:val="3"/>
            <w:shd w:val="clear" w:color="auto" w:fill="auto"/>
          </w:tcPr>
          <w:p w14:paraId="27E225F5">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实际生产能力</w:t>
            </w:r>
          </w:p>
        </w:tc>
        <w:tc>
          <w:tcPr>
            <w:tcW w:w="2808" w:type="dxa"/>
            <w:gridSpan w:val="3"/>
            <w:shd w:val="clear" w:color="auto" w:fill="auto"/>
          </w:tcPr>
          <w:p w14:paraId="27B344F6">
            <w:pPr>
              <w:spacing w:line="260" w:lineRule="exact"/>
              <w:rPr>
                <w:rFonts w:hint="eastAsia" w:ascii="Times New Roman" w:hAnsi="Times New Roman" w:eastAsiaTheme="minorEastAsia"/>
                <w:color w:val="auto"/>
                <w:sz w:val="15"/>
                <w:szCs w:val="15"/>
                <w:highlight w:val="none"/>
                <w:lang w:eastAsia="zh-CN"/>
              </w:rPr>
            </w:pPr>
            <w:r>
              <w:rPr>
                <w:rFonts w:hint="eastAsia" w:ascii="Times New Roman" w:hAnsi="Times New Roman" w:cs="Times New Roman" w:eastAsiaTheme="minorEastAsia"/>
                <w:color w:val="auto"/>
                <w:sz w:val="15"/>
                <w:szCs w:val="15"/>
                <w:highlight w:val="none"/>
                <w:lang w:val="en-US" w:eastAsia="zh-CN"/>
              </w:rPr>
              <w:t>年产羊肉片机5000台</w:t>
            </w:r>
          </w:p>
        </w:tc>
        <w:tc>
          <w:tcPr>
            <w:tcW w:w="1723" w:type="dxa"/>
            <w:gridSpan w:val="3"/>
            <w:shd w:val="clear" w:color="auto" w:fill="auto"/>
          </w:tcPr>
          <w:p w14:paraId="326ABA30">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环评单位</w:t>
            </w:r>
          </w:p>
        </w:tc>
        <w:tc>
          <w:tcPr>
            <w:tcW w:w="2185" w:type="dxa"/>
            <w:gridSpan w:val="5"/>
            <w:shd w:val="clear" w:color="auto" w:fill="auto"/>
          </w:tcPr>
          <w:p w14:paraId="75F9E20B">
            <w:pPr>
              <w:spacing w:line="260" w:lineRule="exact"/>
              <w:rPr>
                <w:rFonts w:hint="default" w:ascii="Times New Roman" w:hAnsi="Times New Roman" w:eastAsiaTheme="minorEastAsia"/>
                <w:color w:val="auto"/>
                <w:spacing w:val="-15"/>
                <w:sz w:val="15"/>
                <w:szCs w:val="15"/>
                <w:highlight w:val="none"/>
                <w:lang w:val="en-US"/>
              </w:rPr>
            </w:pPr>
            <w:r>
              <w:rPr>
                <w:rFonts w:hint="eastAsia" w:ascii="Times New Roman" w:hAnsi="Times New Roman" w:cs="Times New Roman" w:eastAsiaTheme="minorEastAsia"/>
                <w:color w:val="auto"/>
                <w:sz w:val="15"/>
                <w:szCs w:val="15"/>
                <w:highlight w:val="none"/>
                <w:lang w:val="en-US" w:eastAsia="zh-CN"/>
              </w:rPr>
              <w:t>唐山鼎清环保科技有限公司</w:t>
            </w:r>
          </w:p>
        </w:tc>
      </w:tr>
      <w:tr w14:paraId="23F81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 w:type="dxa"/>
            <w:vMerge w:val="continue"/>
            <w:shd w:val="clear" w:color="auto" w:fill="auto"/>
          </w:tcPr>
          <w:p w14:paraId="0655682E">
            <w:pPr>
              <w:spacing w:line="260" w:lineRule="exact"/>
              <w:rPr>
                <w:rFonts w:ascii="Times New Roman" w:hAnsi="Times New Roman" w:eastAsiaTheme="minorEastAsia"/>
                <w:color w:val="auto"/>
                <w:sz w:val="15"/>
                <w:szCs w:val="15"/>
                <w:highlight w:val="none"/>
              </w:rPr>
            </w:pPr>
          </w:p>
        </w:tc>
        <w:tc>
          <w:tcPr>
            <w:tcW w:w="1969" w:type="dxa"/>
            <w:gridSpan w:val="3"/>
            <w:shd w:val="clear" w:color="auto" w:fill="auto"/>
          </w:tcPr>
          <w:p w14:paraId="76F6522E">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环评文件审批机关</w:t>
            </w:r>
          </w:p>
        </w:tc>
        <w:tc>
          <w:tcPr>
            <w:tcW w:w="4833" w:type="dxa"/>
            <w:gridSpan w:val="7"/>
            <w:shd w:val="clear" w:color="auto" w:fill="auto"/>
          </w:tcPr>
          <w:p w14:paraId="42149248">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玉田县行政审批局</w:t>
            </w:r>
          </w:p>
        </w:tc>
        <w:tc>
          <w:tcPr>
            <w:tcW w:w="1775" w:type="dxa"/>
            <w:gridSpan w:val="3"/>
            <w:shd w:val="clear" w:color="auto" w:fill="auto"/>
          </w:tcPr>
          <w:p w14:paraId="7BD1C841">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审批文号</w:t>
            </w:r>
          </w:p>
        </w:tc>
        <w:tc>
          <w:tcPr>
            <w:tcW w:w="2808" w:type="dxa"/>
            <w:gridSpan w:val="3"/>
            <w:shd w:val="clear" w:color="auto" w:fill="auto"/>
          </w:tcPr>
          <w:p w14:paraId="0E051FA8">
            <w:pPr>
              <w:spacing w:line="260" w:lineRule="exact"/>
              <w:rPr>
                <w:rFonts w:ascii="Times New Roman" w:hAnsi="Times New Roman" w:eastAsiaTheme="minorEastAsia"/>
                <w:color w:val="auto"/>
                <w:sz w:val="15"/>
                <w:szCs w:val="15"/>
                <w:highlight w:val="none"/>
              </w:rPr>
            </w:pPr>
            <w:r>
              <w:rPr>
                <w:rFonts w:hint="eastAsia" w:ascii="Times New Roman" w:hAnsi="Times New Roman" w:eastAsiaTheme="minorEastAsia"/>
                <w:color w:val="auto"/>
                <w:sz w:val="15"/>
                <w:szCs w:val="15"/>
                <w:highlight w:val="none"/>
                <w:lang w:val="en-US" w:eastAsia="zh-CN"/>
              </w:rPr>
              <w:t>玉审环书〔2022〕4号</w:t>
            </w:r>
          </w:p>
        </w:tc>
        <w:tc>
          <w:tcPr>
            <w:tcW w:w="1723" w:type="dxa"/>
            <w:gridSpan w:val="3"/>
            <w:shd w:val="clear" w:color="auto" w:fill="auto"/>
          </w:tcPr>
          <w:p w14:paraId="057CA9B1">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环评文件类型</w:t>
            </w:r>
          </w:p>
        </w:tc>
        <w:tc>
          <w:tcPr>
            <w:tcW w:w="2185" w:type="dxa"/>
            <w:gridSpan w:val="5"/>
            <w:shd w:val="clear" w:color="auto" w:fill="auto"/>
          </w:tcPr>
          <w:p w14:paraId="6BBF70B2">
            <w:pPr>
              <w:spacing w:line="260" w:lineRule="exact"/>
              <w:rPr>
                <w:rFonts w:hint="eastAsia" w:ascii="Times New Roman" w:hAnsi="Times New Roman" w:eastAsiaTheme="minorEastAsia"/>
                <w:color w:val="auto"/>
                <w:sz w:val="15"/>
                <w:szCs w:val="15"/>
                <w:highlight w:val="none"/>
                <w:lang w:eastAsia="zh-CN"/>
              </w:rPr>
            </w:pPr>
            <w:r>
              <w:rPr>
                <w:rFonts w:ascii="Times New Roman" w:hAnsi="Times New Roman" w:eastAsiaTheme="minorEastAsia"/>
                <w:color w:val="auto"/>
                <w:sz w:val="15"/>
                <w:szCs w:val="15"/>
                <w:highlight w:val="none"/>
              </w:rPr>
              <w:t>环境影响</w:t>
            </w:r>
            <w:r>
              <w:rPr>
                <w:rFonts w:hint="eastAsia" w:ascii="Times New Roman" w:hAnsi="Times New Roman" w:eastAsiaTheme="minorEastAsia"/>
                <w:color w:val="auto"/>
                <w:sz w:val="15"/>
                <w:szCs w:val="15"/>
                <w:highlight w:val="none"/>
              </w:rPr>
              <w:t>报告</w:t>
            </w:r>
            <w:r>
              <w:rPr>
                <w:rFonts w:hint="eastAsia" w:ascii="Times New Roman" w:hAnsi="Times New Roman" w:eastAsiaTheme="minorEastAsia"/>
                <w:color w:val="auto"/>
                <w:sz w:val="15"/>
                <w:szCs w:val="15"/>
                <w:highlight w:val="none"/>
                <w:lang w:val="en-US" w:eastAsia="zh-CN"/>
              </w:rPr>
              <w:t>书</w:t>
            </w:r>
          </w:p>
        </w:tc>
      </w:tr>
      <w:tr w14:paraId="215E9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360" w:type="dxa"/>
            <w:vMerge w:val="continue"/>
            <w:shd w:val="clear" w:color="auto" w:fill="auto"/>
          </w:tcPr>
          <w:p w14:paraId="6C08D4DF">
            <w:pPr>
              <w:spacing w:line="260" w:lineRule="exact"/>
              <w:rPr>
                <w:rFonts w:ascii="Times New Roman" w:hAnsi="Times New Roman" w:eastAsiaTheme="minorEastAsia"/>
                <w:color w:val="auto"/>
                <w:sz w:val="15"/>
                <w:szCs w:val="15"/>
                <w:highlight w:val="none"/>
              </w:rPr>
            </w:pPr>
          </w:p>
        </w:tc>
        <w:tc>
          <w:tcPr>
            <w:tcW w:w="1969" w:type="dxa"/>
            <w:gridSpan w:val="3"/>
            <w:shd w:val="clear" w:color="auto" w:fill="auto"/>
          </w:tcPr>
          <w:p w14:paraId="3D2B0783">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开工日期</w:t>
            </w:r>
          </w:p>
        </w:tc>
        <w:tc>
          <w:tcPr>
            <w:tcW w:w="4833" w:type="dxa"/>
            <w:gridSpan w:val="7"/>
            <w:shd w:val="clear" w:color="auto" w:fill="auto"/>
          </w:tcPr>
          <w:p w14:paraId="5C65D9A6">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w:t>
            </w:r>
          </w:p>
        </w:tc>
        <w:tc>
          <w:tcPr>
            <w:tcW w:w="1775" w:type="dxa"/>
            <w:gridSpan w:val="3"/>
            <w:shd w:val="clear" w:color="auto" w:fill="auto"/>
          </w:tcPr>
          <w:p w14:paraId="6179843C">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竣工日期</w:t>
            </w:r>
          </w:p>
        </w:tc>
        <w:tc>
          <w:tcPr>
            <w:tcW w:w="2808" w:type="dxa"/>
            <w:gridSpan w:val="3"/>
            <w:shd w:val="clear" w:color="auto" w:fill="auto"/>
          </w:tcPr>
          <w:p w14:paraId="41742B80">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2026.3.10</w:t>
            </w:r>
          </w:p>
        </w:tc>
        <w:tc>
          <w:tcPr>
            <w:tcW w:w="1723" w:type="dxa"/>
            <w:gridSpan w:val="3"/>
            <w:shd w:val="clear" w:color="auto" w:fill="auto"/>
          </w:tcPr>
          <w:p w14:paraId="25A27912">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排污许可证申领时间</w:t>
            </w:r>
          </w:p>
        </w:tc>
        <w:tc>
          <w:tcPr>
            <w:tcW w:w="2185" w:type="dxa"/>
            <w:gridSpan w:val="5"/>
            <w:shd w:val="clear" w:color="auto" w:fill="auto"/>
          </w:tcPr>
          <w:p w14:paraId="51BCDDAE">
            <w:pPr>
              <w:spacing w:line="260" w:lineRule="exact"/>
              <w:rPr>
                <w:rFonts w:hint="default" w:ascii="Times New Roman" w:hAnsi="Times New Roman" w:eastAsiaTheme="minorEastAsia"/>
                <w:color w:val="auto"/>
                <w:sz w:val="15"/>
                <w:szCs w:val="15"/>
                <w:highlight w:val="none"/>
                <w:lang w:val="en-US" w:eastAsia="zh-CN"/>
              </w:rPr>
            </w:pPr>
            <w:r>
              <w:rPr>
                <w:rFonts w:ascii="Times New Roman" w:hAnsi="Times New Roman" w:eastAsiaTheme="minorEastAsia"/>
                <w:color w:val="auto"/>
                <w:sz w:val="15"/>
                <w:szCs w:val="15"/>
                <w:highlight w:val="none"/>
              </w:rPr>
              <w:t>--</w:t>
            </w:r>
          </w:p>
        </w:tc>
      </w:tr>
      <w:tr w14:paraId="04B69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360" w:type="dxa"/>
            <w:vMerge w:val="continue"/>
            <w:shd w:val="clear" w:color="auto" w:fill="auto"/>
          </w:tcPr>
          <w:p w14:paraId="2766E6F0">
            <w:pPr>
              <w:spacing w:line="260" w:lineRule="exact"/>
              <w:rPr>
                <w:rFonts w:ascii="Times New Roman" w:hAnsi="Times New Roman" w:eastAsiaTheme="minorEastAsia"/>
                <w:color w:val="auto"/>
                <w:sz w:val="15"/>
                <w:szCs w:val="15"/>
                <w:highlight w:val="none"/>
              </w:rPr>
            </w:pPr>
          </w:p>
        </w:tc>
        <w:tc>
          <w:tcPr>
            <w:tcW w:w="1969" w:type="dxa"/>
            <w:gridSpan w:val="3"/>
            <w:shd w:val="clear" w:color="auto" w:fill="auto"/>
          </w:tcPr>
          <w:p w14:paraId="1138B821">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环保设施设计单位</w:t>
            </w:r>
          </w:p>
        </w:tc>
        <w:tc>
          <w:tcPr>
            <w:tcW w:w="4833" w:type="dxa"/>
            <w:gridSpan w:val="7"/>
            <w:shd w:val="clear" w:color="auto" w:fill="auto"/>
          </w:tcPr>
          <w:p w14:paraId="35E3E401">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w:t>
            </w:r>
          </w:p>
        </w:tc>
        <w:tc>
          <w:tcPr>
            <w:tcW w:w="1775" w:type="dxa"/>
            <w:gridSpan w:val="3"/>
            <w:shd w:val="clear" w:color="auto" w:fill="auto"/>
          </w:tcPr>
          <w:p w14:paraId="2483B0D6">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环保设施施工单位</w:t>
            </w:r>
          </w:p>
        </w:tc>
        <w:tc>
          <w:tcPr>
            <w:tcW w:w="2808" w:type="dxa"/>
            <w:gridSpan w:val="3"/>
            <w:shd w:val="clear" w:color="auto" w:fill="auto"/>
          </w:tcPr>
          <w:p w14:paraId="580EF003">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w:t>
            </w:r>
          </w:p>
        </w:tc>
        <w:tc>
          <w:tcPr>
            <w:tcW w:w="1723" w:type="dxa"/>
            <w:gridSpan w:val="3"/>
            <w:shd w:val="clear" w:color="auto" w:fill="auto"/>
          </w:tcPr>
          <w:p w14:paraId="32BB2EF3">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本工程排污许可证编号</w:t>
            </w:r>
          </w:p>
        </w:tc>
        <w:tc>
          <w:tcPr>
            <w:tcW w:w="2185" w:type="dxa"/>
            <w:gridSpan w:val="5"/>
            <w:shd w:val="clear" w:color="auto" w:fill="auto"/>
          </w:tcPr>
          <w:p w14:paraId="2919342A">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91130229MA0CM1HT60001W</w:t>
            </w:r>
          </w:p>
        </w:tc>
      </w:tr>
      <w:tr w14:paraId="58CF9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360" w:type="dxa"/>
            <w:vMerge w:val="continue"/>
            <w:shd w:val="clear" w:color="auto" w:fill="auto"/>
          </w:tcPr>
          <w:p w14:paraId="1C5DCAC0">
            <w:pPr>
              <w:spacing w:line="260" w:lineRule="exact"/>
              <w:rPr>
                <w:rFonts w:ascii="Times New Roman" w:hAnsi="Times New Roman" w:eastAsiaTheme="minorEastAsia"/>
                <w:color w:val="auto"/>
                <w:sz w:val="15"/>
                <w:szCs w:val="15"/>
                <w:highlight w:val="none"/>
              </w:rPr>
            </w:pPr>
          </w:p>
        </w:tc>
        <w:tc>
          <w:tcPr>
            <w:tcW w:w="1969" w:type="dxa"/>
            <w:gridSpan w:val="3"/>
            <w:shd w:val="clear" w:color="auto" w:fill="auto"/>
          </w:tcPr>
          <w:p w14:paraId="490A762B">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验收单位</w:t>
            </w:r>
          </w:p>
        </w:tc>
        <w:tc>
          <w:tcPr>
            <w:tcW w:w="4833" w:type="dxa"/>
            <w:gridSpan w:val="7"/>
            <w:shd w:val="clear" w:color="auto" w:fill="auto"/>
          </w:tcPr>
          <w:p w14:paraId="4B8A3256">
            <w:pPr>
              <w:spacing w:line="260" w:lineRule="exact"/>
              <w:rPr>
                <w:rFonts w:hint="eastAsia" w:ascii="Times New Roman" w:hAnsi="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唐山市康泰科技有限公司</w:t>
            </w:r>
          </w:p>
        </w:tc>
        <w:tc>
          <w:tcPr>
            <w:tcW w:w="1775" w:type="dxa"/>
            <w:gridSpan w:val="3"/>
            <w:shd w:val="clear" w:color="auto" w:fill="auto"/>
          </w:tcPr>
          <w:p w14:paraId="739A5820">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环保设施监测单位</w:t>
            </w:r>
          </w:p>
        </w:tc>
        <w:tc>
          <w:tcPr>
            <w:tcW w:w="2808" w:type="dxa"/>
            <w:gridSpan w:val="3"/>
            <w:shd w:val="clear" w:color="auto" w:fill="auto"/>
          </w:tcPr>
          <w:p w14:paraId="403EFD4D">
            <w:pPr>
              <w:spacing w:line="260" w:lineRule="exact"/>
              <w:rPr>
                <w:rFonts w:hint="eastAsia" w:ascii="Times New Roman" w:hAnsi="Times New Roman" w:eastAsiaTheme="minorEastAsia"/>
                <w:color w:val="auto"/>
                <w:sz w:val="15"/>
                <w:szCs w:val="15"/>
                <w:highlight w:val="none"/>
                <w:lang w:eastAsia="zh-CN"/>
              </w:rPr>
            </w:pPr>
            <w:r>
              <w:rPr>
                <w:rFonts w:hint="default" w:ascii="Times New Roman" w:hAnsi="Times New Roman" w:cs="Times New Roman" w:eastAsiaTheme="minorEastAsia"/>
                <w:color w:val="auto"/>
                <w:sz w:val="15"/>
                <w:szCs w:val="15"/>
                <w:highlight w:val="none"/>
                <w:lang w:val="en-US" w:eastAsia="zh-CN"/>
              </w:rPr>
              <w:t>唐山一方检测技术有限公司</w:t>
            </w:r>
          </w:p>
        </w:tc>
        <w:tc>
          <w:tcPr>
            <w:tcW w:w="1723" w:type="dxa"/>
            <w:gridSpan w:val="3"/>
            <w:shd w:val="clear" w:color="auto" w:fill="auto"/>
          </w:tcPr>
          <w:p w14:paraId="4B506E83">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验收监测时工况</w:t>
            </w:r>
          </w:p>
        </w:tc>
        <w:tc>
          <w:tcPr>
            <w:tcW w:w="2185" w:type="dxa"/>
            <w:gridSpan w:val="5"/>
            <w:shd w:val="clear" w:color="auto" w:fill="auto"/>
          </w:tcPr>
          <w:p w14:paraId="1FCA4B52">
            <w:pPr>
              <w:spacing w:line="260" w:lineRule="exact"/>
              <w:rPr>
                <w:rFonts w:hint="default" w:ascii="Times New Roman" w:hAnsi="Times New Roman" w:eastAsia="宋体"/>
                <w:color w:val="auto"/>
                <w:sz w:val="15"/>
                <w:szCs w:val="15"/>
                <w:highlight w:val="none"/>
                <w:lang w:val="en-US" w:eastAsia="zh-CN"/>
              </w:rPr>
            </w:pPr>
            <w:r>
              <w:rPr>
                <w:rFonts w:ascii="Times New Roman" w:hAnsi="Times New Roman" w:eastAsiaTheme="minorEastAsia"/>
                <w:color w:val="auto"/>
                <w:sz w:val="15"/>
                <w:szCs w:val="15"/>
                <w:highlight w:val="none"/>
              </w:rPr>
              <w:t>/</w:t>
            </w:r>
          </w:p>
        </w:tc>
      </w:tr>
      <w:tr w14:paraId="0A536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 w:type="dxa"/>
            <w:vMerge w:val="continue"/>
            <w:shd w:val="clear" w:color="auto" w:fill="auto"/>
          </w:tcPr>
          <w:p w14:paraId="445E0E19">
            <w:pPr>
              <w:spacing w:line="260" w:lineRule="exact"/>
              <w:rPr>
                <w:rFonts w:ascii="Times New Roman" w:hAnsi="Times New Roman" w:eastAsiaTheme="minorEastAsia"/>
                <w:color w:val="auto"/>
                <w:sz w:val="15"/>
                <w:szCs w:val="15"/>
                <w:highlight w:val="none"/>
              </w:rPr>
            </w:pPr>
          </w:p>
        </w:tc>
        <w:tc>
          <w:tcPr>
            <w:tcW w:w="1969" w:type="dxa"/>
            <w:gridSpan w:val="3"/>
            <w:shd w:val="clear" w:color="auto" w:fill="auto"/>
          </w:tcPr>
          <w:p w14:paraId="0A740BD2">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投资总概算（万元）</w:t>
            </w:r>
          </w:p>
        </w:tc>
        <w:tc>
          <w:tcPr>
            <w:tcW w:w="4833" w:type="dxa"/>
            <w:gridSpan w:val="7"/>
            <w:shd w:val="clear" w:color="auto" w:fill="auto"/>
          </w:tcPr>
          <w:p w14:paraId="68DD6729">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2500</w:t>
            </w:r>
          </w:p>
        </w:tc>
        <w:tc>
          <w:tcPr>
            <w:tcW w:w="1775" w:type="dxa"/>
            <w:gridSpan w:val="3"/>
            <w:shd w:val="clear" w:color="auto" w:fill="auto"/>
          </w:tcPr>
          <w:p w14:paraId="1486CC99">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环保投资总概算(万元)</w:t>
            </w:r>
          </w:p>
        </w:tc>
        <w:tc>
          <w:tcPr>
            <w:tcW w:w="2808" w:type="dxa"/>
            <w:gridSpan w:val="3"/>
            <w:shd w:val="clear" w:color="auto" w:fill="auto"/>
          </w:tcPr>
          <w:p w14:paraId="54CF444D">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51</w:t>
            </w:r>
          </w:p>
        </w:tc>
        <w:tc>
          <w:tcPr>
            <w:tcW w:w="1723" w:type="dxa"/>
            <w:gridSpan w:val="3"/>
            <w:shd w:val="clear" w:color="auto" w:fill="auto"/>
          </w:tcPr>
          <w:p w14:paraId="6FDA2990">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所占比例（%）</w:t>
            </w:r>
          </w:p>
        </w:tc>
        <w:tc>
          <w:tcPr>
            <w:tcW w:w="2185" w:type="dxa"/>
            <w:gridSpan w:val="5"/>
            <w:shd w:val="clear" w:color="auto" w:fill="auto"/>
          </w:tcPr>
          <w:p w14:paraId="21346463">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2.04</w:t>
            </w:r>
          </w:p>
        </w:tc>
      </w:tr>
      <w:tr w14:paraId="53109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 w:type="dxa"/>
            <w:vMerge w:val="continue"/>
            <w:shd w:val="clear" w:color="auto" w:fill="auto"/>
          </w:tcPr>
          <w:p w14:paraId="4DBDF0A0">
            <w:pPr>
              <w:spacing w:line="260" w:lineRule="exact"/>
              <w:rPr>
                <w:rFonts w:ascii="Times New Roman" w:hAnsi="Times New Roman" w:eastAsiaTheme="minorEastAsia"/>
                <w:color w:val="auto"/>
                <w:sz w:val="15"/>
                <w:szCs w:val="15"/>
                <w:highlight w:val="none"/>
              </w:rPr>
            </w:pPr>
          </w:p>
        </w:tc>
        <w:tc>
          <w:tcPr>
            <w:tcW w:w="1969" w:type="dxa"/>
            <w:gridSpan w:val="3"/>
            <w:shd w:val="clear" w:color="auto" w:fill="auto"/>
          </w:tcPr>
          <w:p w14:paraId="64B6D30C">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实际总投资（万元）</w:t>
            </w:r>
          </w:p>
        </w:tc>
        <w:tc>
          <w:tcPr>
            <w:tcW w:w="4833" w:type="dxa"/>
            <w:gridSpan w:val="7"/>
            <w:shd w:val="clear" w:color="auto" w:fill="auto"/>
          </w:tcPr>
          <w:p w14:paraId="0D3A650E">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2000</w:t>
            </w:r>
          </w:p>
        </w:tc>
        <w:tc>
          <w:tcPr>
            <w:tcW w:w="1775" w:type="dxa"/>
            <w:gridSpan w:val="3"/>
            <w:shd w:val="clear" w:color="auto" w:fill="auto"/>
          </w:tcPr>
          <w:p w14:paraId="50820EC1">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实际环保投资 (万元)</w:t>
            </w:r>
          </w:p>
        </w:tc>
        <w:tc>
          <w:tcPr>
            <w:tcW w:w="2808" w:type="dxa"/>
            <w:gridSpan w:val="3"/>
            <w:shd w:val="clear" w:color="auto" w:fill="auto"/>
          </w:tcPr>
          <w:p w14:paraId="41902935">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24</w:t>
            </w:r>
          </w:p>
        </w:tc>
        <w:tc>
          <w:tcPr>
            <w:tcW w:w="1723" w:type="dxa"/>
            <w:gridSpan w:val="3"/>
            <w:shd w:val="clear" w:color="auto" w:fill="auto"/>
          </w:tcPr>
          <w:p w14:paraId="5AE2E433">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所占比例（%）</w:t>
            </w:r>
          </w:p>
        </w:tc>
        <w:tc>
          <w:tcPr>
            <w:tcW w:w="2185" w:type="dxa"/>
            <w:gridSpan w:val="5"/>
            <w:shd w:val="clear" w:color="auto" w:fill="auto"/>
          </w:tcPr>
          <w:p w14:paraId="31230DA0">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1.9</w:t>
            </w:r>
          </w:p>
        </w:tc>
      </w:tr>
      <w:tr w14:paraId="26971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 w:type="dxa"/>
            <w:vMerge w:val="continue"/>
            <w:shd w:val="clear" w:color="auto" w:fill="auto"/>
          </w:tcPr>
          <w:p w14:paraId="6404C527">
            <w:pPr>
              <w:spacing w:line="260" w:lineRule="exact"/>
              <w:rPr>
                <w:rFonts w:ascii="Times New Roman" w:hAnsi="Times New Roman" w:eastAsiaTheme="minorEastAsia"/>
                <w:color w:val="auto"/>
                <w:sz w:val="15"/>
                <w:szCs w:val="15"/>
                <w:highlight w:val="none"/>
              </w:rPr>
            </w:pPr>
          </w:p>
        </w:tc>
        <w:tc>
          <w:tcPr>
            <w:tcW w:w="1969" w:type="dxa"/>
            <w:gridSpan w:val="3"/>
            <w:shd w:val="clear" w:color="auto" w:fill="auto"/>
          </w:tcPr>
          <w:p w14:paraId="4868CE75">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废水治理（万元）</w:t>
            </w:r>
          </w:p>
        </w:tc>
        <w:tc>
          <w:tcPr>
            <w:tcW w:w="723" w:type="dxa"/>
            <w:shd w:val="clear" w:color="auto" w:fill="auto"/>
          </w:tcPr>
          <w:p w14:paraId="3F70F9B4">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16</w:t>
            </w:r>
          </w:p>
        </w:tc>
        <w:tc>
          <w:tcPr>
            <w:tcW w:w="1276" w:type="dxa"/>
            <w:gridSpan w:val="2"/>
            <w:shd w:val="clear" w:color="auto" w:fill="auto"/>
          </w:tcPr>
          <w:p w14:paraId="7891471B">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废气治理（万元）</w:t>
            </w:r>
          </w:p>
        </w:tc>
        <w:tc>
          <w:tcPr>
            <w:tcW w:w="784" w:type="dxa"/>
            <w:shd w:val="clear" w:color="auto" w:fill="auto"/>
          </w:tcPr>
          <w:p w14:paraId="6A19B3E9">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10</w:t>
            </w:r>
          </w:p>
        </w:tc>
        <w:tc>
          <w:tcPr>
            <w:tcW w:w="1342" w:type="dxa"/>
            <w:gridSpan w:val="2"/>
            <w:shd w:val="clear" w:color="auto" w:fill="auto"/>
          </w:tcPr>
          <w:p w14:paraId="6CB499BA">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噪声治理(万元)</w:t>
            </w:r>
          </w:p>
        </w:tc>
        <w:tc>
          <w:tcPr>
            <w:tcW w:w="708" w:type="dxa"/>
            <w:shd w:val="clear" w:color="auto" w:fill="auto"/>
          </w:tcPr>
          <w:p w14:paraId="71DF7927">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6</w:t>
            </w:r>
          </w:p>
        </w:tc>
        <w:tc>
          <w:tcPr>
            <w:tcW w:w="1775" w:type="dxa"/>
            <w:gridSpan w:val="3"/>
            <w:shd w:val="clear" w:color="auto" w:fill="auto"/>
          </w:tcPr>
          <w:p w14:paraId="0FC68681">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固体废物治理（万元）</w:t>
            </w:r>
          </w:p>
        </w:tc>
        <w:tc>
          <w:tcPr>
            <w:tcW w:w="2808" w:type="dxa"/>
            <w:gridSpan w:val="3"/>
            <w:shd w:val="clear" w:color="auto" w:fill="auto"/>
          </w:tcPr>
          <w:p w14:paraId="07DBB48D">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6</w:t>
            </w:r>
          </w:p>
        </w:tc>
        <w:tc>
          <w:tcPr>
            <w:tcW w:w="1723" w:type="dxa"/>
            <w:gridSpan w:val="3"/>
            <w:shd w:val="clear" w:color="auto" w:fill="auto"/>
          </w:tcPr>
          <w:p w14:paraId="0791B19E">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绿化及生态（万元 ）</w:t>
            </w:r>
          </w:p>
        </w:tc>
        <w:tc>
          <w:tcPr>
            <w:tcW w:w="709" w:type="dxa"/>
            <w:gridSpan w:val="2"/>
            <w:shd w:val="clear" w:color="auto" w:fill="auto"/>
          </w:tcPr>
          <w:p w14:paraId="7C77DC8E">
            <w:pPr>
              <w:spacing w:line="260" w:lineRule="exact"/>
              <w:rPr>
                <w:rFonts w:hint="eastAsia" w:ascii="Times New Roman" w:hAnsi="Times New Roman" w:eastAsiaTheme="minorEastAsia"/>
                <w:color w:val="auto"/>
                <w:sz w:val="15"/>
                <w:szCs w:val="15"/>
                <w:highlight w:val="none"/>
                <w:lang w:eastAsia="zh-CN"/>
              </w:rPr>
            </w:pPr>
            <w:r>
              <w:rPr>
                <w:rFonts w:hint="eastAsia" w:ascii="Times New Roman" w:hAnsi="Times New Roman" w:eastAsiaTheme="minorEastAsia"/>
                <w:color w:val="auto"/>
                <w:sz w:val="15"/>
                <w:szCs w:val="15"/>
                <w:highlight w:val="none"/>
                <w:lang w:val="en-US" w:eastAsia="zh-CN"/>
              </w:rPr>
              <w:t>0</w:t>
            </w:r>
          </w:p>
        </w:tc>
        <w:tc>
          <w:tcPr>
            <w:tcW w:w="966" w:type="dxa"/>
            <w:gridSpan w:val="2"/>
            <w:shd w:val="clear" w:color="auto" w:fill="auto"/>
          </w:tcPr>
          <w:p w14:paraId="3D30FBC1">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其他（万元）</w:t>
            </w:r>
          </w:p>
        </w:tc>
        <w:tc>
          <w:tcPr>
            <w:tcW w:w="510" w:type="dxa"/>
            <w:shd w:val="clear" w:color="auto" w:fill="auto"/>
          </w:tcPr>
          <w:p w14:paraId="3CFA0250">
            <w:pPr>
              <w:spacing w:line="260" w:lineRule="exact"/>
              <w:rPr>
                <w:rFonts w:hint="eastAsia" w:ascii="Times New Roman" w:hAnsi="Times New Roman" w:eastAsiaTheme="minorEastAsia"/>
                <w:color w:val="0000FF"/>
                <w:sz w:val="15"/>
                <w:szCs w:val="15"/>
                <w:highlight w:val="none"/>
                <w:lang w:eastAsia="zh-CN"/>
              </w:rPr>
            </w:pPr>
            <w:r>
              <w:rPr>
                <w:rFonts w:hint="eastAsia" w:ascii="Times New Roman" w:hAnsi="Times New Roman" w:eastAsiaTheme="minorEastAsia"/>
                <w:color w:val="0000FF"/>
                <w:sz w:val="15"/>
                <w:szCs w:val="15"/>
                <w:highlight w:val="none"/>
                <w:lang w:val="en-US" w:eastAsia="zh-CN"/>
              </w:rPr>
              <w:t>/</w:t>
            </w:r>
          </w:p>
        </w:tc>
      </w:tr>
      <w:tr w14:paraId="6177E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 w:type="dxa"/>
            <w:vMerge w:val="continue"/>
            <w:shd w:val="clear" w:color="auto" w:fill="auto"/>
          </w:tcPr>
          <w:p w14:paraId="294E32C7">
            <w:pPr>
              <w:spacing w:line="260" w:lineRule="exact"/>
              <w:rPr>
                <w:rFonts w:ascii="Times New Roman" w:hAnsi="Times New Roman" w:eastAsiaTheme="minorEastAsia"/>
                <w:color w:val="auto"/>
                <w:sz w:val="15"/>
                <w:szCs w:val="15"/>
                <w:highlight w:val="none"/>
              </w:rPr>
            </w:pPr>
          </w:p>
        </w:tc>
        <w:tc>
          <w:tcPr>
            <w:tcW w:w="1969" w:type="dxa"/>
            <w:gridSpan w:val="3"/>
            <w:shd w:val="clear" w:color="auto" w:fill="auto"/>
          </w:tcPr>
          <w:p w14:paraId="26E36184">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新增废水处理设施能力</w:t>
            </w:r>
          </w:p>
        </w:tc>
        <w:tc>
          <w:tcPr>
            <w:tcW w:w="4833" w:type="dxa"/>
            <w:gridSpan w:val="7"/>
            <w:shd w:val="clear" w:color="auto" w:fill="auto"/>
          </w:tcPr>
          <w:p w14:paraId="184F86FF">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w:t>
            </w:r>
          </w:p>
        </w:tc>
        <w:tc>
          <w:tcPr>
            <w:tcW w:w="1775" w:type="dxa"/>
            <w:gridSpan w:val="3"/>
            <w:shd w:val="clear" w:color="auto" w:fill="auto"/>
          </w:tcPr>
          <w:p w14:paraId="69D9F403">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新增废气处理设施能力</w:t>
            </w:r>
          </w:p>
        </w:tc>
        <w:tc>
          <w:tcPr>
            <w:tcW w:w="2808" w:type="dxa"/>
            <w:gridSpan w:val="3"/>
            <w:shd w:val="clear" w:color="auto" w:fill="auto"/>
          </w:tcPr>
          <w:p w14:paraId="482680AD">
            <w:pPr>
              <w:spacing w:line="260" w:lineRule="exact"/>
              <w:rPr>
                <w:rFonts w:hint="default" w:ascii="Times New Roman" w:hAnsi="Times New Roman" w:eastAsiaTheme="minorEastAsia"/>
                <w:color w:val="auto"/>
                <w:sz w:val="15"/>
                <w:szCs w:val="15"/>
                <w:highlight w:val="none"/>
                <w:lang w:val="en-US" w:eastAsia="zh-CN"/>
              </w:rPr>
            </w:pPr>
            <w:r>
              <w:rPr>
                <w:rFonts w:ascii="Times New Roman" w:hAnsi="Times New Roman" w:eastAsiaTheme="minorEastAsia"/>
                <w:color w:val="auto"/>
                <w:sz w:val="15"/>
                <w:szCs w:val="15"/>
                <w:highlight w:val="none"/>
              </w:rPr>
              <w:t>/</w:t>
            </w:r>
          </w:p>
        </w:tc>
        <w:tc>
          <w:tcPr>
            <w:tcW w:w="1723" w:type="dxa"/>
            <w:gridSpan w:val="3"/>
            <w:shd w:val="clear" w:color="auto" w:fill="auto"/>
          </w:tcPr>
          <w:p w14:paraId="1D00E856">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年平均工作时间</w:t>
            </w:r>
          </w:p>
        </w:tc>
        <w:tc>
          <w:tcPr>
            <w:tcW w:w="2185" w:type="dxa"/>
            <w:gridSpan w:val="5"/>
            <w:shd w:val="clear" w:color="auto" w:fill="auto"/>
          </w:tcPr>
          <w:p w14:paraId="1CBE8BB4">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8400</w:t>
            </w:r>
            <w:r>
              <w:rPr>
                <w:rFonts w:ascii="Times New Roman" w:hAnsi="Times New Roman" w:eastAsiaTheme="minorEastAsia"/>
                <w:color w:val="auto"/>
                <w:sz w:val="15"/>
                <w:szCs w:val="15"/>
                <w:highlight w:val="none"/>
              </w:rPr>
              <w:t>小时</w:t>
            </w:r>
            <w:r>
              <w:rPr>
                <w:rFonts w:hint="eastAsia" w:ascii="Times New Roman" w:hAnsi="Times New Roman" w:eastAsiaTheme="minorEastAsia"/>
                <w:color w:val="auto"/>
                <w:sz w:val="15"/>
                <w:szCs w:val="15"/>
                <w:highlight w:val="none"/>
                <w:lang w:eastAsia="zh-CN"/>
              </w:rPr>
              <w:t>（</w:t>
            </w:r>
            <w:r>
              <w:rPr>
                <w:rFonts w:hint="eastAsia" w:ascii="Times New Roman" w:hAnsi="Times New Roman" w:eastAsiaTheme="minorEastAsia"/>
                <w:color w:val="auto"/>
                <w:sz w:val="15"/>
                <w:szCs w:val="15"/>
                <w:highlight w:val="none"/>
                <w:lang w:val="en-US" w:eastAsia="zh-CN"/>
              </w:rPr>
              <w:t>现运</w:t>
            </w:r>
            <w:r>
              <w:rPr>
                <w:rFonts w:hint="eastAsia" w:ascii="Times New Roman" w:hAnsi="Times New Roman" w:cs="Times New Roman" w:eastAsiaTheme="minorEastAsia"/>
                <w:color w:val="auto"/>
                <w:sz w:val="15"/>
                <w:szCs w:val="15"/>
                <w:highlight w:val="none"/>
                <w:lang w:val="en-US" w:eastAsia="zh-CN"/>
              </w:rPr>
              <w:t>行5067h/a）</w:t>
            </w:r>
          </w:p>
        </w:tc>
      </w:tr>
      <w:tr w14:paraId="1601A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2329" w:type="dxa"/>
            <w:gridSpan w:val="4"/>
            <w:shd w:val="clear" w:color="auto" w:fill="auto"/>
          </w:tcPr>
          <w:p w14:paraId="2D4A5B44">
            <w:pPr>
              <w:spacing w:line="260" w:lineRule="exact"/>
              <w:jc w:val="center"/>
              <w:rPr>
                <w:rFonts w:ascii="Times New Roman" w:hAnsi="Times New Roman" w:eastAsiaTheme="minorEastAsia"/>
                <w:color w:val="auto"/>
                <w:sz w:val="15"/>
                <w:szCs w:val="15"/>
                <w:highlight w:val="none"/>
              </w:rPr>
            </w:pPr>
            <w:r>
              <w:rPr>
                <w:rFonts w:ascii="Times New Roman" w:hAnsi="Times New Roman" w:cs="Times New Roman" w:eastAsiaTheme="minorEastAsia"/>
                <w:color w:val="auto"/>
                <w:sz w:val="15"/>
                <w:szCs w:val="15"/>
                <w:highlight w:val="none"/>
              </w:rPr>
              <w:t>运营单位</w:t>
            </w:r>
          </w:p>
        </w:tc>
        <w:tc>
          <w:tcPr>
            <w:tcW w:w="4125" w:type="dxa"/>
            <w:gridSpan w:val="6"/>
            <w:shd w:val="clear" w:color="auto" w:fill="auto"/>
          </w:tcPr>
          <w:p w14:paraId="10042DFB">
            <w:pPr>
              <w:spacing w:line="260" w:lineRule="exact"/>
              <w:jc w:val="left"/>
              <w:rPr>
                <w:rFonts w:hint="eastAsia" w:ascii="Times New Roman" w:hAnsi="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唐山市康泰科技有限公司</w:t>
            </w:r>
          </w:p>
        </w:tc>
        <w:tc>
          <w:tcPr>
            <w:tcW w:w="3338" w:type="dxa"/>
            <w:gridSpan w:val="5"/>
            <w:shd w:val="clear" w:color="auto" w:fill="auto"/>
          </w:tcPr>
          <w:p w14:paraId="62E3476D">
            <w:pPr>
              <w:spacing w:line="260" w:lineRule="exact"/>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运营单位社会统一信用代码(或组织机构代码)</w:t>
            </w:r>
          </w:p>
        </w:tc>
        <w:tc>
          <w:tcPr>
            <w:tcW w:w="1953" w:type="dxa"/>
            <w:gridSpan w:val="2"/>
            <w:shd w:val="clear" w:color="auto" w:fill="auto"/>
          </w:tcPr>
          <w:p w14:paraId="5687CDE1">
            <w:pPr>
              <w:spacing w:line="260" w:lineRule="exact"/>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91130229MA0CM1HT6U</w:t>
            </w:r>
          </w:p>
        </w:tc>
        <w:tc>
          <w:tcPr>
            <w:tcW w:w="1723" w:type="dxa"/>
            <w:gridSpan w:val="3"/>
            <w:shd w:val="clear" w:color="auto" w:fill="auto"/>
          </w:tcPr>
          <w:p w14:paraId="2C74DEB1">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验收时间</w:t>
            </w:r>
          </w:p>
        </w:tc>
        <w:tc>
          <w:tcPr>
            <w:tcW w:w="2185" w:type="dxa"/>
            <w:gridSpan w:val="5"/>
            <w:shd w:val="clear" w:color="auto" w:fill="auto"/>
          </w:tcPr>
          <w:p w14:paraId="5AC819B2">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2026.4</w:t>
            </w:r>
          </w:p>
        </w:tc>
      </w:tr>
      <w:tr w14:paraId="560BA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5" w:type="dxa"/>
            <w:gridSpan w:val="2"/>
            <w:vMerge w:val="restart"/>
            <w:shd w:val="clear" w:color="auto" w:fill="auto"/>
          </w:tcPr>
          <w:p w14:paraId="1D7B1D25">
            <w:pPr>
              <w:spacing w:line="260" w:lineRule="exact"/>
              <w:rPr>
                <w:rFonts w:ascii="Times New Roman" w:hAnsi="Times New Roman" w:eastAsiaTheme="minorEastAsia"/>
                <w:color w:val="auto"/>
                <w:sz w:val="15"/>
                <w:szCs w:val="15"/>
                <w:highlight w:val="none"/>
              </w:rPr>
            </w:pPr>
          </w:p>
          <w:p w14:paraId="5D36F52C">
            <w:pPr>
              <w:spacing w:line="260" w:lineRule="exact"/>
              <w:rPr>
                <w:rFonts w:ascii="Times New Roman" w:hAnsi="Times New Roman" w:eastAsiaTheme="minorEastAsia"/>
                <w:color w:val="auto"/>
                <w:sz w:val="15"/>
                <w:szCs w:val="15"/>
                <w:highlight w:val="none"/>
              </w:rPr>
            </w:pPr>
          </w:p>
          <w:p w14:paraId="7FDE4C1A">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污染物排放达标与总量控制（工业建设项目详填）</w:t>
            </w:r>
          </w:p>
        </w:tc>
        <w:tc>
          <w:tcPr>
            <w:tcW w:w="1804" w:type="dxa"/>
            <w:gridSpan w:val="2"/>
            <w:shd w:val="clear" w:color="auto" w:fill="auto"/>
            <w:vAlign w:val="center"/>
          </w:tcPr>
          <w:p w14:paraId="7970EC92">
            <w:pPr>
              <w:spacing w:line="260" w:lineRule="exact"/>
              <w:jc w:val="center"/>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污染物</w:t>
            </w:r>
          </w:p>
        </w:tc>
        <w:tc>
          <w:tcPr>
            <w:tcW w:w="865" w:type="dxa"/>
            <w:gridSpan w:val="2"/>
            <w:shd w:val="clear" w:color="auto" w:fill="auto"/>
          </w:tcPr>
          <w:p w14:paraId="1E54774B">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原有排放量(1)</w:t>
            </w:r>
          </w:p>
        </w:tc>
        <w:tc>
          <w:tcPr>
            <w:tcW w:w="1134" w:type="dxa"/>
            <w:shd w:val="clear" w:color="auto" w:fill="auto"/>
          </w:tcPr>
          <w:p w14:paraId="3AE11BA9">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本期工程实际排放浓度(2)</w:t>
            </w:r>
          </w:p>
        </w:tc>
        <w:tc>
          <w:tcPr>
            <w:tcW w:w="1134" w:type="dxa"/>
            <w:gridSpan w:val="2"/>
            <w:shd w:val="clear" w:color="auto" w:fill="auto"/>
          </w:tcPr>
          <w:p w14:paraId="7D34196F">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本期工程允许排放浓度(3)</w:t>
            </w:r>
          </w:p>
        </w:tc>
        <w:tc>
          <w:tcPr>
            <w:tcW w:w="992" w:type="dxa"/>
            <w:shd w:val="clear" w:color="auto" w:fill="auto"/>
          </w:tcPr>
          <w:p w14:paraId="0E697C0E">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本期工程产生量(4)</w:t>
            </w:r>
          </w:p>
        </w:tc>
        <w:tc>
          <w:tcPr>
            <w:tcW w:w="1134" w:type="dxa"/>
            <w:gridSpan w:val="2"/>
            <w:shd w:val="clear" w:color="auto" w:fill="auto"/>
          </w:tcPr>
          <w:p w14:paraId="345B96DE">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本期工程自身削减量(5)</w:t>
            </w:r>
          </w:p>
        </w:tc>
        <w:tc>
          <w:tcPr>
            <w:tcW w:w="1134" w:type="dxa"/>
            <w:shd w:val="clear" w:color="auto" w:fill="auto"/>
          </w:tcPr>
          <w:p w14:paraId="491C50DF">
            <w:pPr>
              <w:spacing w:line="260" w:lineRule="exact"/>
              <w:jc w:val="lef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本期工程实际排放量(6)</w:t>
            </w:r>
          </w:p>
        </w:tc>
        <w:tc>
          <w:tcPr>
            <w:tcW w:w="1070" w:type="dxa"/>
            <w:gridSpan w:val="2"/>
            <w:shd w:val="clear" w:color="auto" w:fill="auto"/>
          </w:tcPr>
          <w:p w14:paraId="5FCCFC08">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本期工程核定排放总量(7)</w:t>
            </w:r>
          </w:p>
        </w:tc>
        <w:tc>
          <w:tcPr>
            <w:tcW w:w="1953" w:type="dxa"/>
            <w:gridSpan w:val="2"/>
            <w:shd w:val="clear" w:color="auto" w:fill="auto"/>
          </w:tcPr>
          <w:p w14:paraId="0F48C009">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本期工程“以新带老”削减量(8)</w:t>
            </w:r>
          </w:p>
        </w:tc>
        <w:tc>
          <w:tcPr>
            <w:tcW w:w="959" w:type="dxa"/>
            <w:gridSpan w:val="2"/>
            <w:shd w:val="clear" w:color="auto" w:fill="auto"/>
          </w:tcPr>
          <w:p w14:paraId="0D1E3FA8">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全厂实际排放总量(9)</w:t>
            </w:r>
          </w:p>
        </w:tc>
        <w:tc>
          <w:tcPr>
            <w:tcW w:w="993" w:type="dxa"/>
            <w:gridSpan w:val="2"/>
            <w:shd w:val="clear" w:color="auto" w:fill="auto"/>
          </w:tcPr>
          <w:p w14:paraId="7876BBB3">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全厂核定排放总量(10)</w:t>
            </w:r>
          </w:p>
        </w:tc>
        <w:tc>
          <w:tcPr>
            <w:tcW w:w="1098" w:type="dxa"/>
            <w:gridSpan w:val="2"/>
            <w:shd w:val="clear" w:color="auto" w:fill="auto"/>
          </w:tcPr>
          <w:p w14:paraId="5D1886BA">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区域平衡替代削减量(11)</w:t>
            </w:r>
          </w:p>
        </w:tc>
        <w:tc>
          <w:tcPr>
            <w:tcW w:w="858" w:type="dxa"/>
            <w:gridSpan w:val="2"/>
            <w:shd w:val="clear" w:color="auto" w:fill="auto"/>
          </w:tcPr>
          <w:p w14:paraId="33BADA24">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排放增减量(12)</w:t>
            </w:r>
          </w:p>
        </w:tc>
      </w:tr>
      <w:tr w14:paraId="63589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525" w:type="dxa"/>
            <w:gridSpan w:val="2"/>
            <w:vMerge w:val="continue"/>
            <w:shd w:val="clear" w:color="auto" w:fill="auto"/>
          </w:tcPr>
          <w:p w14:paraId="691BEFAE">
            <w:pPr>
              <w:spacing w:line="260" w:lineRule="exact"/>
              <w:rPr>
                <w:rFonts w:ascii="Times New Roman" w:hAnsi="Times New Roman" w:eastAsiaTheme="minorEastAsia"/>
                <w:color w:val="auto"/>
                <w:sz w:val="15"/>
                <w:szCs w:val="15"/>
                <w:highlight w:val="none"/>
              </w:rPr>
            </w:pPr>
          </w:p>
        </w:tc>
        <w:tc>
          <w:tcPr>
            <w:tcW w:w="1804" w:type="dxa"/>
            <w:gridSpan w:val="2"/>
            <w:shd w:val="clear" w:color="auto" w:fill="auto"/>
            <w:vAlign w:val="center"/>
          </w:tcPr>
          <w:p w14:paraId="2A9410E8">
            <w:pPr>
              <w:spacing w:line="260" w:lineRule="exact"/>
              <w:jc w:val="center"/>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排气量</w:t>
            </w:r>
          </w:p>
        </w:tc>
        <w:tc>
          <w:tcPr>
            <w:tcW w:w="865" w:type="dxa"/>
            <w:gridSpan w:val="2"/>
            <w:shd w:val="clear" w:color="auto" w:fill="auto"/>
            <w:vAlign w:val="center"/>
          </w:tcPr>
          <w:p w14:paraId="22142B55">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6ADA1F80">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5BEB26F4">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2" w:type="dxa"/>
            <w:shd w:val="clear" w:color="auto" w:fill="auto"/>
            <w:vAlign w:val="center"/>
          </w:tcPr>
          <w:p w14:paraId="1CFAD3A3">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64A634A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0A104DC1">
            <w:pPr>
              <w:spacing w:line="240" w:lineRule="exact"/>
              <w:ind w:left="-107" w:leftChars="-51" w:right="-101" w:rightChars="-48"/>
              <w:jc w:val="center"/>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70" w:type="dxa"/>
            <w:gridSpan w:val="2"/>
            <w:shd w:val="clear" w:color="auto" w:fill="auto"/>
            <w:vAlign w:val="center"/>
          </w:tcPr>
          <w:p w14:paraId="7D01140F">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953" w:type="dxa"/>
            <w:gridSpan w:val="2"/>
            <w:shd w:val="clear" w:color="auto" w:fill="auto"/>
            <w:vAlign w:val="center"/>
          </w:tcPr>
          <w:p w14:paraId="581FEF62">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59" w:type="dxa"/>
            <w:gridSpan w:val="2"/>
            <w:shd w:val="clear" w:color="auto" w:fill="auto"/>
            <w:vAlign w:val="center"/>
          </w:tcPr>
          <w:p w14:paraId="4265F73D">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3" w:type="dxa"/>
            <w:gridSpan w:val="2"/>
            <w:shd w:val="clear" w:color="auto" w:fill="auto"/>
            <w:vAlign w:val="center"/>
          </w:tcPr>
          <w:p w14:paraId="44642319">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98" w:type="dxa"/>
            <w:gridSpan w:val="2"/>
            <w:shd w:val="clear" w:color="auto" w:fill="auto"/>
            <w:vAlign w:val="center"/>
          </w:tcPr>
          <w:p w14:paraId="630E1DD7">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858" w:type="dxa"/>
            <w:gridSpan w:val="2"/>
            <w:shd w:val="clear" w:color="auto" w:fill="auto"/>
            <w:vAlign w:val="center"/>
          </w:tcPr>
          <w:p w14:paraId="71C3349D">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r>
      <w:tr w14:paraId="719D6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25" w:type="dxa"/>
            <w:gridSpan w:val="2"/>
            <w:vMerge w:val="continue"/>
            <w:shd w:val="clear" w:color="auto" w:fill="auto"/>
          </w:tcPr>
          <w:p w14:paraId="08562EEE">
            <w:pPr>
              <w:spacing w:line="260" w:lineRule="exact"/>
              <w:rPr>
                <w:rFonts w:ascii="Times New Roman" w:hAnsi="Times New Roman" w:eastAsiaTheme="minorEastAsia"/>
                <w:color w:val="auto"/>
                <w:sz w:val="15"/>
                <w:szCs w:val="15"/>
                <w:highlight w:val="none"/>
              </w:rPr>
            </w:pPr>
          </w:p>
        </w:tc>
        <w:tc>
          <w:tcPr>
            <w:tcW w:w="1804" w:type="dxa"/>
            <w:gridSpan w:val="2"/>
            <w:shd w:val="clear" w:color="auto" w:fill="auto"/>
            <w:vAlign w:val="center"/>
          </w:tcPr>
          <w:p w14:paraId="1934D2D3">
            <w:pPr>
              <w:spacing w:line="260" w:lineRule="exact"/>
              <w:jc w:val="center"/>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颗粒物</w:t>
            </w:r>
          </w:p>
        </w:tc>
        <w:tc>
          <w:tcPr>
            <w:tcW w:w="865" w:type="dxa"/>
            <w:gridSpan w:val="2"/>
            <w:shd w:val="clear" w:color="auto" w:fill="auto"/>
            <w:vAlign w:val="center"/>
          </w:tcPr>
          <w:p w14:paraId="6FBD0F14">
            <w:pPr>
              <w:spacing w:line="260" w:lineRule="exact"/>
              <w:jc w:val="center"/>
              <w:rPr>
                <w:rFonts w:hint="default" w:ascii="Times New Roman" w:hAnsi="Times New Roman" w:cs="Times New Roman" w:eastAsiaTheme="minorEastAsia"/>
                <w:color w:val="auto"/>
                <w:sz w:val="15"/>
                <w:szCs w:val="15"/>
                <w:highlight w:val="cyan"/>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16261FDA">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4EE34558">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2" w:type="dxa"/>
            <w:shd w:val="clear" w:color="auto" w:fill="auto"/>
            <w:vAlign w:val="center"/>
          </w:tcPr>
          <w:p w14:paraId="562FE007">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20EF93BA">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5994DE4E">
            <w:pPr>
              <w:spacing w:line="240" w:lineRule="exact"/>
              <w:ind w:left="-107" w:leftChars="-51" w:right="-101" w:rightChars="-48"/>
              <w:jc w:val="center"/>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0.090</w:t>
            </w:r>
          </w:p>
        </w:tc>
        <w:tc>
          <w:tcPr>
            <w:tcW w:w="1070" w:type="dxa"/>
            <w:gridSpan w:val="2"/>
            <w:shd w:val="clear" w:color="auto" w:fill="auto"/>
            <w:vAlign w:val="center"/>
          </w:tcPr>
          <w:p w14:paraId="1F27B262">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953" w:type="dxa"/>
            <w:gridSpan w:val="2"/>
            <w:shd w:val="clear" w:color="auto" w:fill="auto"/>
            <w:vAlign w:val="center"/>
          </w:tcPr>
          <w:p w14:paraId="2AB148FF">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59" w:type="dxa"/>
            <w:gridSpan w:val="2"/>
            <w:shd w:val="clear" w:color="auto" w:fill="auto"/>
            <w:vAlign w:val="center"/>
          </w:tcPr>
          <w:p w14:paraId="1D48F5AE">
            <w:pPr>
              <w:spacing w:line="240" w:lineRule="exact"/>
              <w:ind w:left="-107" w:leftChars="-51" w:right="-101" w:rightChars="-48"/>
              <w:jc w:val="center"/>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0.090</w:t>
            </w:r>
          </w:p>
        </w:tc>
        <w:tc>
          <w:tcPr>
            <w:tcW w:w="993" w:type="dxa"/>
            <w:gridSpan w:val="2"/>
            <w:shd w:val="clear" w:color="auto" w:fill="auto"/>
            <w:vAlign w:val="center"/>
          </w:tcPr>
          <w:p w14:paraId="32347378">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98" w:type="dxa"/>
            <w:gridSpan w:val="2"/>
            <w:shd w:val="clear" w:color="auto" w:fill="auto"/>
            <w:vAlign w:val="center"/>
          </w:tcPr>
          <w:p w14:paraId="762D8E68">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858" w:type="dxa"/>
            <w:gridSpan w:val="2"/>
            <w:shd w:val="clear" w:color="auto" w:fill="auto"/>
            <w:vAlign w:val="center"/>
          </w:tcPr>
          <w:p w14:paraId="7250ED9F">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r>
      <w:tr w14:paraId="1F4E7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525" w:type="dxa"/>
            <w:gridSpan w:val="2"/>
            <w:vMerge w:val="continue"/>
            <w:shd w:val="clear" w:color="auto" w:fill="auto"/>
          </w:tcPr>
          <w:p w14:paraId="76161697">
            <w:pPr>
              <w:spacing w:line="260" w:lineRule="exact"/>
              <w:rPr>
                <w:rFonts w:ascii="Times New Roman" w:hAnsi="Times New Roman" w:eastAsiaTheme="minorEastAsia"/>
                <w:color w:val="auto"/>
                <w:sz w:val="15"/>
                <w:szCs w:val="15"/>
                <w:highlight w:val="none"/>
              </w:rPr>
            </w:pPr>
          </w:p>
        </w:tc>
        <w:tc>
          <w:tcPr>
            <w:tcW w:w="1804" w:type="dxa"/>
            <w:gridSpan w:val="2"/>
            <w:shd w:val="clear" w:color="auto" w:fill="auto"/>
            <w:vAlign w:val="center"/>
          </w:tcPr>
          <w:p w14:paraId="6311D73C">
            <w:pPr>
              <w:spacing w:line="260" w:lineRule="exact"/>
              <w:jc w:val="center"/>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二氧化硫</w:t>
            </w:r>
          </w:p>
        </w:tc>
        <w:tc>
          <w:tcPr>
            <w:tcW w:w="865" w:type="dxa"/>
            <w:gridSpan w:val="2"/>
            <w:shd w:val="clear" w:color="auto" w:fill="auto"/>
            <w:vAlign w:val="center"/>
          </w:tcPr>
          <w:p w14:paraId="19EE10F3">
            <w:pPr>
              <w:spacing w:line="260" w:lineRule="exact"/>
              <w:jc w:val="center"/>
              <w:rPr>
                <w:rFonts w:hint="default" w:ascii="Times New Roman" w:hAnsi="Times New Roman" w:cs="Times New Roman" w:eastAsiaTheme="minorEastAsia"/>
                <w:color w:val="auto"/>
                <w:sz w:val="15"/>
                <w:szCs w:val="15"/>
                <w:highlight w:val="cyan"/>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756F6899">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70A87DF4">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2" w:type="dxa"/>
            <w:shd w:val="clear" w:color="auto" w:fill="auto"/>
            <w:vAlign w:val="center"/>
          </w:tcPr>
          <w:p w14:paraId="2EBA53A3">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2204B4EA">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1C20786A">
            <w:pPr>
              <w:spacing w:line="240" w:lineRule="exact"/>
              <w:ind w:left="-107" w:leftChars="-51" w:right="-101" w:rightChars="-48"/>
              <w:jc w:val="center"/>
              <w:rPr>
                <w:rFonts w:hint="default" w:ascii="Times New Roman" w:hAnsi="Times New Roman" w:cs="Times New Roman" w:eastAsiaTheme="minorEastAsia"/>
                <w:color w:val="auto"/>
                <w:sz w:val="15"/>
                <w:szCs w:val="15"/>
                <w:highlight w:val="yellow"/>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70" w:type="dxa"/>
            <w:gridSpan w:val="2"/>
            <w:shd w:val="clear" w:color="auto" w:fill="auto"/>
            <w:vAlign w:val="center"/>
          </w:tcPr>
          <w:p w14:paraId="6037257D">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953" w:type="dxa"/>
            <w:gridSpan w:val="2"/>
            <w:shd w:val="clear" w:color="auto" w:fill="auto"/>
            <w:vAlign w:val="center"/>
          </w:tcPr>
          <w:p w14:paraId="5E94C352">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59" w:type="dxa"/>
            <w:gridSpan w:val="2"/>
            <w:shd w:val="clear" w:color="auto" w:fill="auto"/>
            <w:vAlign w:val="center"/>
          </w:tcPr>
          <w:p w14:paraId="5EDACE5C">
            <w:pPr>
              <w:spacing w:line="260" w:lineRule="exact"/>
              <w:jc w:val="center"/>
              <w:rPr>
                <w:rFonts w:hint="default" w:ascii="Times New Roman" w:hAnsi="Times New Roman" w:cs="Times New Roman" w:eastAsiaTheme="minorEastAsia"/>
                <w:color w:val="auto"/>
                <w:kern w:val="2"/>
                <w:sz w:val="15"/>
                <w:szCs w:val="15"/>
                <w:highlight w:val="yellow"/>
                <w:lang w:val="en-US" w:eastAsia="zh-CN" w:bidi="ar-SA"/>
              </w:rPr>
            </w:pPr>
            <w:r>
              <w:rPr>
                <w:rFonts w:hint="eastAsia" w:ascii="Times New Roman" w:hAnsi="Times New Roman" w:cs="Times New Roman" w:eastAsiaTheme="minorEastAsia"/>
                <w:color w:val="auto"/>
                <w:sz w:val="15"/>
                <w:szCs w:val="15"/>
                <w:highlight w:val="none"/>
                <w:lang w:val="en-US" w:eastAsia="zh-CN"/>
              </w:rPr>
              <w:t>/</w:t>
            </w:r>
          </w:p>
        </w:tc>
        <w:tc>
          <w:tcPr>
            <w:tcW w:w="993" w:type="dxa"/>
            <w:gridSpan w:val="2"/>
            <w:shd w:val="clear" w:color="auto" w:fill="auto"/>
            <w:vAlign w:val="center"/>
          </w:tcPr>
          <w:p w14:paraId="51B0E77C">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p>
        </w:tc>
        <w:tc>
          <w:tcPr>
            <w:tcW w:w="1098" w:type="dxa"/>
            <w:gridSpan w:val="2"/>
            <w:shd w:val="clear" w:color="auto" w:fill="auto"/>
            <w:vAlign w:val="center"/>
          </w:tcPr>
          <w:p w14:paraId="4796FBF8">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858" w:type="dxa"/>
            <w:gridSpan w:val="2"/>
            <w:shd w:val="clear" w:color="auto" w:fill="auto"/>
            <w:vAlign w:val="center"/>
          </w:tcPr>
          <w:p w14:paraId="6485C62C">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r>
      <w:tr w14:paraId="57177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525" w:type="dxa"/>
            <w:gridSpan w:val="2"/>
            <w:vMerge w:val="continue"/>
            <w:shd w:val="clear" w:color="auto" w:fill="auto"/>
          </w:tcPr>
          <w:p w14:paraId="3D7E7F3A">
            <w:pPr>
              <w:spacing w:line="260" w:lineRule="exact"/>
              <w:rPr>
                <w:rFonts w:ascii="Times New Roman" w:hAnsi="Times New Roman" w:eastAsiaTheme="minorEastAsia"/>
                <w:color w:val="auto"/>
                <w:sz w:val="15"/>
                <w:szCs w:val="15"/>
                <w:highlight w:val="none"/>
              </w:rPr>
            </w:pPr>
          </w:p>
        </w:tc>
        <w:tc>
          <w:tcPr>
            <w:tcW w:w="1804" w:type="dxa"/>
            <w:gridSpan w:val="2"/>
            <w:shd w:val="clear" w:color="auto" w:fill="auto"/>
            <w:vAlign w:val="center"/>
          </w:tcPr>
          <w:p w14:paraId="51573E67">
            <w:pPr>
              <w:spacing w:line="260" w:lineRule="exact"/>
              <w:jc w:val="center"/>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氮氧化物</w:t>
            </w:r>
          </w:p>
        </w:tc>
        <w:tc>
          <w:tcPr>
            <w:tcW w:w="865" w:type="dxa"/>
            <w:gridSpan w:val="2"/>
            <w:shd w:val="clear" w:color="auto" w:fill="auto"/>
            <w:vAlign w:val="center"/>
          </w:tcPr>
          <w:p w14:paraId="42C12CAA">
            <w:pPr>
              <w:spacing w:line="260" w:lineRule="exact"/>
              <w:jc w:val="center"/>
              <w:rPr>
                <w:rFonts w:hint="default" w:ascii="Times New Roman" w:hAnsi="Times New Roman" w:cs="Times New Roman" w:eastAsiaTheme="minorEastAsia"/>
                <w:color w:val="auto"/>
                <w:sz w:val="15"/>
                <w:szCs w:val="15"/>
                <w:highlight w:val="cyan"/>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13C2702C">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307D3688">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2" w:type="dxa"/>
            <w:shd w:val="clear" w:color="auto" w:fill="auto"/>
            <w:vAlign w:val="center"/>
          </w:tcPr>
          <w:p w14:paraId="450A150A">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4FF85AA8">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005D70A8">
            <w:pPr>
              <w:spacing w:line="240" w:lineRule="exact"/>
              <w:ind w:left="-107" w:leftChars="-51" w:right="-101" w:rightChars="-48"/>
              <w:jc w:val="center"/>
              <w:rPr>
                <w:rFonts w:hint="default" w:ascii="Times New Roman" w:hAnsi="Times New Roman" w:cs="Times New Roman" w:eastAsiaTheme="minorEastAsia"/>
                <w:color w:val="auto"/>
                <w:sz w:val="15"/>
                <w:szCs w:val="15"/>
                <w:highlight w:val="yellow"/>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70" w:type="dxa"/>
            <w:gridSpan w:val="2"/>
            <w:shd w:val="clear" w:color="auto" w:fill="auto"/>
            <w:vAlign w:val="center"/>
          </w:tcPr>
          <w:p w14:paraId="08A6B819">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953" w:type="dxa"/>
            <w:gridSpan w:val="2"/>
            <w:shd w:val="clear" w:color="auto" w:fill="auto"/>
            <w:vAlign w:val="center"/>
          </w:tcPr>
          <w:p w14:paraId="6D65EFBF">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59" w:type="dxa"/>
            <w:gridSpan w:val="2"/>
            <w:shd w:val="clear" w:color="auto" w:fill="auto"/>
            <w:vAlign w:val="center"/>
          </w:tcPr>
          <w:p w14:paraId="6381A936">
            <w:pPr>
              <w:spacing w:line="260" w:lineRule="exact"/>
              <w:jc w:val="center"/>
              <w:rPr>
                <w:rFonts w:hint="default" w:ascii="Times New Roman" w:hAnsi="Times New Roman" w:cs="Times New Roman" w:eastAsiaTheme="minorEastAsia"/>
                <w:color w:val="auto"/>
                <w:kern w:val="2"/>
                <w:sz w:val="15"/>
                <w:szCs w:val="15"/>
                <w:highlight w:val="yellow"/>
                <w:lang w:val="en-US" w:eastAsia="zh-CN" w:bidi="ar-SA"/>
              </w:rPr>
            </w:pPr>
            <w:r>
              <w:rPr>
                <w:rFonts w:hint="eastAsia" w:ascii="Times New Roman" w:hAnsi="Times New Roman" w:cs="Times New Roman" w:eastAsiaTheme="minorEastAsia"/>
                <w:color w:val="auto"/>
                <w:sz w:val="15"/>
                <w:szCs w:val="15"/>
                <w:highlight w:val="none"/>
                <w:lang w:val="en-US" w:eastAsia="zh-CN"/>
              </w:rPr>
              <w:t>/</w:t>
            </w:r>
          </w:p>
        </w:tc>
        <w:tc>
          <w:tcPr>
            <w:tcW w:w="993" w:type="dxa"/>
            <w:gridSpan w:val="2"/>
            <w:shd w:val="clear" w:color="auto" w:fill="auto"/>
            <w:vAlign w:val="center"/>
          </w:tcPr>
          <w:p w14:paraId="62B2006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98" w:type="dxa"/>
            <w:gridSpan w:val="2"/>
            <w:shd w:val="clear" w:color="auto" w:fill="auto"/>
            <w:vAlign w:val="center"/>
          </w:tcPr>
          <w:p w14:paraId="08607620">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858" w:type="dxa"/>
            <w:gridSpan w:val="2"/>
            <w:shd w:val="clear" w:color="auto" w:fill="auto"/>
            <w:vAlign w:val="center"/>
          </w:tcPr>
          <w:p w14:paraId="75D182C9">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r>
      <w:tr w14:paraId="2E660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25" w:type="dxa"/>
            <w:gridSpan w:val="2"/>
            <w:vMerge w:val="continue"/>
            <w:shd w:val="clear" w:color="auto" w:fill="auto"/>
          </w:tcPr>
          <w:p w14:paraId="4908EF93">
            <w:pPr>
              <w:spacing w:line="260" w:lineRule="exact"/>
              <w:rPr>
                <w:rFonts w:ascii="Times New Roman" w:hAnsi="Times New Roman" w:eastAsiaTheme="minorEastAsia"/>
                <w:color w:val="auto"/>
                <w:sz w:val="15"/>
                <w:szCs w:val="15"/>
                <w:highlight w:val="none"/>
              </w:rPr>
            </w:pPr>
          </w:p>
        </w:tc>
        <w:tc>
          <w:tcPr>
            <w:tcW w:w="1804" w:type="dxa"/>
            <w:gridSpan w:val="2"/>
            <w:shd w:val="clear" w:color="auto" w:fill="auto"/>
            <w:vAlign w:val="center"/>
          </w:tcPr>
          <w:p w14:paraId="61BDC329">
            <w:pPr>
              <w:spacing w:line="260" w:lineRule="exact"/>
              <w:jc w:val="center"/>
              <w:rPr>
                <w:rFonts w:hint="eastAsia"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非甲烷总烃</w:t>
            </w:r>
          </w:p>
        </w:tc>
        <w:tc>
          <w:tcPr>
            <w:tcW w:w="865" w:type="dxa"/>
            <w:gridSpan w:val="2"/>
            <w:shd w:val="clear" w:color="auto" w:fill="auto"/>
            <w:vAlign w:val="center"/>
          </w:tcPr>
          <w:p w14:paraId="2BD9165E">
            <w:pPr>
              <w:spacing w:line="260" w:lineRule="exact"/>
              <w:jc w:val="center"/>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7F62947C">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4E702FBD">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2" w:type="dxa"/>
            <w:shd w:val="clear" w:color="auto" w:fill="auto"/>
            <w:vAlign w:val="center"/>
          </w:tcPr>
          <w:p w14:paraId="7B5FDF26">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5BEFE161">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50C91B06">
            <w:pPr>
              <w:spacing w:line="240" w:lineRule="exact"/>
              <w:ind w:left="-107" w:leftChars="-51" w:right="-101" w:rightChars="-48"/>
              <w:jc w:val="center"/>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70" w:type="dxa"/>
            <w:gridSpan w:val="2"/>
            <w:shd w:val="clear" w:color="auto" w:fill="auto"/>
            <w:vAlign w:val="center"/>
          </w:tcPr>
          <w:p w14:paraId="3853D91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953" w:type="dxa"/>
            <w:gridSpan w:val="2"/>
            <w:shd w:val="clear" w:color="auto" w:fill="auto"/>
            <w:vAlign w:val="center"/>
          </w:tcPr>
          <w:p w14:paraId="68F52F11">
            <w:pPr>
              <w:spacing w:line="240" w:lineRule="exact"/>
              <w:ind w:left="-107" w:leftChars="-51" w:right="-101" w:rightChars="-48"/>
              <w:jc w:val="center"/>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59" w:type="dxa"/>
            <w:gridSpan w:val="2"/>
            <w:shd w:val="clear" w:color="auto" w:fill="auto"/>
            <w:vAlign w:val="center"/>
          </w:tcPr>
          <w:p w14:paraId="5F7D2EF3">
            <w:pPr>
              <w:spacing w:line="240" w:lineRule="exact"/>
              <w:ind w:left="-107" w:leftChars="-51" w:right="-101" w:rightChars="-48"/>
              <w:jc w:val="center"/>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3" w:type="dxa"/>
            <w:gridSpan w:val="2"/>
            <w:shd w:val="clear" w:color="auto" w:fill="auto"/>
            <w:vAlign w:val="center"/>
          </w:tcPr>
          <w:p w14:paraId="01E0BDF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98" w:type="dxa"/>
            <w:gridSpan w:val="2"/>
            <w:shd w:val="clear" w:color="auto" w:fill="auto"/>
            <w:vAlign w:val="center"/>
          </w:tcPr>
          <w:p w14:paraId="1BC57FA7">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858" w:type="dxa"/>
            <w:gridSpan w:val="2"/>
            <w:shd w:val="clear" w:color="auto" w:fill="auto"/>
            <w:vAlign w:val="center"/>
          </w:tcPr>
          <w:p w14:paraId="44F5A94A">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r>
      <w:tr w14:paraId="6B3F5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25" w:type="dxa"/>
            <w:gridSpan w:val="2"/>
            <w:vMerge w:val="continue"/>
            <w:shd w:val="clear" w:color="auto" w:fill="auto"/>
          </w:tcPr>
          <w:p w14:paraId="7C98CBFC">
            <w:pPr>
              <w:spacing w:line="260" w:lineRule="exact"/>
              <w:rPr>
                <w:rFonts w:ascii="Times New Roman" w:hAnsi="Times New Roman" w:eastAsiaTheme="minorEastAsia"/>
                <w:color w:val="auto"/>
                <w:sz w:val="15"/>
                <w:szCs w:val="15"/>
                <w:highlight w:val="none"/>
              </w:rPr>
            </w:pPr>
          </w:p>
        </w:tc>
        <w:tc>
          <w:tcPr>
            <w:tcW w:w="1804" w:type="dxa"/>
            <w:gridSpan w:val="2"/>
            <w:shd w:val="clear" w:color="auto" w:fill="auto"/>
            <w:vAlign w:val="center"/>
          </w:tcPr>
          <w:p w14:paraId="1DD3D25D">
            <w:pPr>
              <w:spacing w:line="260" w:lineRule="exact"/>
              <w:jc w:val="center"/>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排水量</w:t>
            </w:r>
          </w:p>
        </w:tc>
        <w:tc>
          <w:tcPr>
            <w:tcW w:w="865" w:type="dxa"/>
            <w:gridSpan w:val="2"/>
            <w:shd w:val="clear" w:color="auto" w:fill="auto"/>
            <w:vAlign w:val="center"/>
          </w:tcPr>
          <w:p w14:paraId="405580FC">
            <w:pPr>
              <w:spacing w:line="260" w:lineRule="exact"/>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1B3150CE">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5CF913D3">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2" w:type="dxa"/>
            <w:shd w:val="clear" w:color="auto" w:fill="auto"/>
            <w:vAlign w:val="center"/>
          </w:tcPr>
          <w:p w14:paraId="3F7A67C8">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08B7FCD7">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4A686A7E">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70" w:type="dxa"/>
            <w:gridSpan w:val="2"/>
            <w:shd w:val="clear" w:color="auto" w:fill="auto"/>
            <w:vAlign w:val="center"/>
          </w:tcPr>
          <w:p w14:paraId="02F159F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953" w:type="dxa"/>
            <w:gridSpan w:val="2"/>
            <w:shd w:val="clear" w:color="auto" w:fill="auto"/>
            <w:vAlign w:val="center"/>
          </w:tcPr>
          <w:p w14:paraId="2BEB11BF">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59" w:type="dxa"/>
            <w:gridSpan w:val="2"/>
            <w:shd w:val="clear" w:color="auto" w:fill="auto"/>
            <w:vAlign w:val="center"/>
          </w:tcPr>
          <w:p w14:paraId="46B4210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3" w:type="dxa"/>
            <w:gridSpan w:val="2"/>
            <w:shd w:val="clear" w:color="auto" w:fill="auto"/>
            <w:vAlign w:val="center"/>
          </w:tcPr>
          <w:p w14:paraId="6DE9E669">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98" w:type="dxa"/>
            <w:gridSpan w:val="2"/>
            <w:shd w:val="clear" w:color="auto" w:fill="auto"/>
            <w:vAlign w:val="center"/>
          </w:tcPr>
          <w:p w14:paraId="531E7057">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858" w:type="dxa"/>
            <w:gridSpan w:val="2"/>
            <w:shd w:val="clear" w:color="auto" w:fill="auto"/>
            <w:vAlign w:val="center"/>
          </w:tcPr>
          <w:p w14:paraId="1F39EE0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r>
      <w:tr w14:paraId="54BC5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25" w:type="dxa"/>
            <w:gridSpan w:val="2"/>
            <w:vMerge w:val="continue"/>
            <w:shd w:val="clear" w:color="auto" w:fill="auto"/>
          </w:tcPr>
          <w:p w14:paraId="4F78CC46">
            <w:pPr>
              <w:spacing w:line="260" w:lineRule="exact"/>
              <w:rPr>
                <w:rFonts w:ascii="Times New Roman" w:hAnsi="Times New Roman" w:eastAsiaTheme="minorEastAsia"/>
                <w:color w:val="auto"/>
                <w:sz w:val="15"/>
                <w:szCs w:val="15"/>
                <w:highlight w:val="none"/>
              </w:rPr>
            </w:pPr>
          </w:p>
        </w:tc>
        <w:tc>
          <w:tcPr>
            <w:tcW w:w="1804" w:type="dxa"/>
            <w:gridSpan w:val="2"/>
            <w:shd w:val="clear" w:color="auto" w:fill="auto"/>
            <w:vAlign w:val="center"/>
          </w:tcPr>
          <w:p w14:paraId="608F12A0">
            <w:pPr>
              <w:spacing w:line="260" w:lineRule="exact"/>
              <w:jc w:val="center"/>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COD</w:t>
            </w:r>
          </w:p>
        </w:tc>
        <w:tc>
          <w:tcPr>
            <w:tcW w:w="865" w:type="dxa"/>
            <w:gridSpan w:val="2"/>
            <w:shd w:val="clear" w:color="auto" w:fill="auto"/>
            <w:vAlign w:val="center"/>
          </w:tcPr>
          <w:p w14:paraId="55D6F711">
            <w:pPr>
              <w:spacing w:line="260" w:lineRule="exact"/>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110FDD7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6327CA3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2" w:type="dxa"/>
            <w:shd w:val="clear" w:color="auto" w:fill="auto"/>
            <w:vAlign w:val="center"/>
          </w:tcPr>
          <w:p w14:paraId="138506A7">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57B50F80">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2CEA2C6F">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70" w:type="dxa"/>
            <w:gridSpan w:val="2"/>
            <w:shd w:val="clear" w:color="auto" w:fill="auto"/>
            <w:vAlign w:val="center"/>
          </w:tcPr>
          <w:p w14:paraId="087EF0D8">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953" w:type="dxa"/>
            <w:gridSpan w:val="2"/>
            <w:shd w:val="clear" w:color="auto" w:fill="auto"/>
            <w:vAlign w:val="center"/>
          </w:tcPr>
          <w:p w14:paraId="6B0C74C2">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59" w:type="dxa"/>
            <w:gridSpan w:val="2"/>
            <w:shd w:val="clear" w:color="auto" w:fill="auto"/>
            <w:vAlign w:val="center"/>
          </w:tcPr>
          <w:p w14:paraId="7D452A1C">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3" w:type="dxa"/>
            <w:gridSpan w:val="2"/>
            <w:shd w:val="clear" w:color="auto" w:fill="auto"/>
            <w:vAlign w:val="center"/>
          </w:tcPr>
          <w:p w14:paraId="5AB56B8E">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98" w:type="dxa"/>
            <w:gridSpan w:val="2"/>
            <w:shd w:val="clear" w:color="auto" w:fill="auto"/>
            <w:vAlign w:val="center"/>
          </w:tcPr>
          <w:p w14:paraId="331C4DF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858" w:type="dxa"/>
            <w:gridSpan w:val="2"/>
            <w:shd w:val="clear" w:color="auto" w:fill="auto"/>
            <w:vAlign w:val="center"/>
          </w:tcPr>
          <w:p w14:paraId="177269D8">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r>
      <w:tr w14:paraId="79C5C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25" w:type="dxa"/>
            <w:gridSpan w:val="2"/>
            <w:vMerge w:val="continue"/>
            <w:shd w:val="clear" w:color="auto" w:fill="auto"/>
          </w:tcPr>
          <w:p w14:paraId="693121E6">
            <w:pPr>
              <w:spacing w:line="260" w:lineRule="exact"/>
              <w:rPr>
                <w:rFonts w:ascii="Times New Roman" w:hAnsi="Times New Roman" w:eastAsiaTheme="minorEastAsia"/>
                <w:color w:val="auto"/>
                <w:sz w:val="15"/>
                <w:szCs w:val="15"/>
                <w:highlight w:val="none"/>
              </w:rPr>
            </w:pPr>
          </w:p>
        </w:tc>
        <w:tc>
          <w:tcPr>
            <w:tcW w:w="1804" w:type="dxa"/>
            <w:gridSpan w:val="2"/>
            <w:shd w:val="clear" w:color="auto" w:fill="auto"/>
            <w:vAlign w:val="center"/>
          </w:tcPr>
          <w:p w14:paraId="329F52C4">
            <w:pPr>
              <w:spacing w:line="260" w:lineRule="exact"/>
              <w:jc w:val="center"/>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氨氮</w:t>
            </w:r>
          </w:p>
        </w:tc>
        <w:tc>
          <w:tcPr>
            <w:tcW w:w="865" w:type="dxa"/>
            <w:gridSpan w:val="2"/>
            <w:shd w:val="clear" w:color="auto" w:fill="auto"/>
            <w:vAlign w:val="center"/>
          </w:tcPr>
          <w:p w14:paraId="2E619892">
            <w:pPr>
              <w:spacing w:line="260" w:lineRule="exact"/>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63ECC4D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70959F5C">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2" w:type="dxa"/>
            <w:shd w:val="clear" w:color="auto" w:fill="auto"/>
            <w:vAlign w:val="center"/>
          </w:tcPr>
          <w:p w14:paraId="63A93DF9">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7B9E431A">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2EF58D0D">
            <w:pPr>
              <w:spacing w:line="240" w:lineRule="exact"/>
              <w:ind w:left="-107" w:leftChars="-51" w:right="-101" w:rightChars="-48"/>
              <w:jc w:val="center"/>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70" w:type="dxa"/>
            <w:gridSpan w:val="2"/>
            <w:shd w:val="clear" w:color="auto" w:fill="auto"/>
            <w:vAlign w:val="center"/>
          </w:tcPr>
          <w:p w14:paraId="0C2A84D3">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953" w:type="dxa"/>
            <w:gridSpan w:val="2"/>
            <w:shd w:val="clear" w:color="auto" w:fill="auto"/>
            <w:vAlign w:val="center"/>
          </w:tcPr>
          <w:p w14:paraId="23C7383C">
            <w:pPr>
              <w:spacing w:line="240" w:lineRule="exact"/>
              <w:ind w:left="-107" w:leftChars="-51" w:right="-101" w:rightChars="-48"/>
              <w:jc w:val="center"/>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59" w:type="dxa"/>
            <w:gridSpan w:val="2"/>
            <w:shd w:val="clear" w:color="auto" w:fill="auto"/>
            <w:vAlign w:val="center"/>
          </w:tcPr>
          <w:p w14:paraId="043E6F80">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3" w:type="dxa"/>
            <w:gridSpan w:val="2"/>
            <w:shd w:val="clear" w:color="auto" w:fill="auto"/>
            <w:vAlign w:val="center"/>
          </w:tcPr>
          <w:p w14:paraId="13E6D471">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98" w:type="dxa"/>
            <w:gridSpan w:val="2"/>
            <w:shd w:val="clear" w:color="auto" w:fill="auto"/>
            <w:vAlign w:val="center"/>
          </w:tcPr>
          <w:p w14:paraId="70DBB064">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858" w:type="dxa"/>
            <w:gridSpan w:val="2"/>
            <w:shd w:val="clear" w:color="auto" w:fill="auto"/>
            <w:vAlign w:val="center"/>
          </w:tcPr>
          <w:p w14:paraId="1B543D0C">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r>
      <w:tr w14:paraId="70F3A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525" w:type="dxa"/>
            <w:gridSpan w:val="2"/>
            <w:vMerge w:val="continue"/>
            <w:shd w:val="clear" w:color="auto" w:fill="auto"/>
          </w:tcPr>
          <w:p w14:paraId="5175B14D">
            <w:pPr>
              <w:spacing w:line="260" w:lineRule="exact"/>
              <w:rPr>
                <w:rFonts w:ascii="Times New Roman" w:hAnsi="Times New Roman" w:eastAsiaTheme="minorEastAsia"/>
                <w:color w:val="auto"/>
                <w:sz w:val="15"/>
                <w:szCs w:val="15"/>
                <w:highlight w:val="none"/>
              </w:rPr>
            </w:pPr>
          </w:p>
        </w:tc>
        <w:tc>
          <w:tcPr>
            <w:tcW w:w="872" w:type="dxa"/>
            <w:vMerge w:val="restart"/>
            <w:shd w:val="clear" w:color="auto" w:fill="auto"/>
          </w:tcPr>
          <w:p w14:paraId="2FA0DD0F">
            <w:pPr>
              <w:spacing w:line="260" w:lineRule="exact"/>
              <w:rPr>
                <w:rFonts w:ascii="Times New Roman" w:hAnsi="Times New Roman" w:eastAsiaTheme="minorEastAsia"/>
                <w:color w:val="auto"/>
                <w:spacing w:val="-10"/>
                <w:sz w:val="15"/>
                <w:szCs w:val="15"/>
                <w:highlight w:val="none"/>
              </w:rPr>
            </w:pPr>
            <w:r>
              <w:rPr>
                <w:rFonts w:ascii="Times New Roman" w:hAnsi="Times New Roman" w:eastAsiaTheme="minorEastAsia"/>
                <w:color w:val="auto"/>
                <w:spacing w:val="-10"/>
                <w:sz w:val="15"/>
                <w:szCs w:val="15"/>
                <w:highlight w:val="none"/>
              </w:rPr>
              <w:t>与项目有关的其他特征污染物</w:t>
            </w:r>
          </w:p>
        </w:tc>
        <w:tc>
          <w:tcPr>
            <w:tcW w:w="932" w:type="dxa"/>
            <w:shd w:val="clear" w:color="auto" w:fill="auto"/>
            <w:vAlign w:val="center"/>
          </w:tcPr>
          <w:p w14:paraId="331901AE">
            <w:pPr>
              <w:spacing w:line="260" w:lineRule="exact"/>
              <w:jc w:val="center"/>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硫酸雾</w:t>
            </w:r>
          </w:p>
        </w:tc>
        <w:tc>
          <w:tcPr>
            <w:tcW w:w="865" w:type="dxa"/>
            <w:gridSpan w:val="2"/>
            <w:shd w:val="clear" w:color="auto" w:fill="auto"/>
            <w:vAlign w:val="center"/>
          </w:tcPr>
          <w:p w14:paraId="67771ED5">
            <w:pPr>
              <w:spacing w:line="260" w:lineRule="exact"/>
              <w:jc w:val="center"/>
              <w:rPr>
                <w:rFonts w:hint="default" w:ascii="Times New Roman" w:hAnsi="Times New Roman" w:cs="Times New Roman" w:eastAsiaTheme="minorEastAsia"/>
                <w:color w:val="auto"/>
                <w:sz w:val="15"/>
                <w:szCs w:val="15"/>
                <w:highlight w:val="cyan"/>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67CF8063">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5654313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2" w:type="dxa"/>
            <w:shd w:val="clear" w:color="auto" w:fill="auto"/>
            <w:vAlign w:val="center"/>
          </w:tcPr>
          <w:p w14:paraId="3A3983B1">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59504D3F">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56496570">
            <w:pPr>
              <w:spacing w:line="240" w:lineRule="exact"/>
              <w:ind w:left="-107" w:leftChars="-51" w:right="-101" w:rightChars="-48"/>
              <w:jc w:val="center"/>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0.006</w:t>
            </w:r>
          </w:p>
        </w:tc>
        <w:tc>
          <w:tcPr>
            <w:tcW w:w="1070" w:type="dxa"/>
            <w:gridSpan w:val="2"/>
            <w:shd w:val="clear" w:color="auto" w:fill="auto"/>
            <w:vAlign w:val="center"/>
          </w:tcPr>
          <w:p w14:paraId="18AAD76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953" w:type="dxa"/>
            <w:gridSpan w:val="2"/>
            <w:shd w:val="clear" w:color="auto" w:fill="auto"/>
            <w:vAlign w:val="center"/>
          </w:tcPr>
          <w:p w14:paraId="1D37D05D">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59" w:type="dxa"/>
            <w:gridSpan w:val="2"/>
            <w:shd w:val="clear" w:color="auto" w:fill="auto"/>
            <w:vAlign w:val="center"/>
          </w:tcPr>
          <w:p w14:paraId="29648419">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0.006</w:t>
            </w:r>
          </w:p>
        </w:tc>
        <w:tc>
          <w:tcPr>
            <w:tcW w:w="993" w:type="dxa"/>
            <w:gridSpan w:val="2"/>
            <w:shd w:val="clear" w:color="auto" w:fill="auto"/>
            <w:vAlign w:val="center"/>
          </w:tcPr>
          <w:p w14:paraId="7AD9ECE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98" w:type="dxa"/>
            <w:gridSpan w:val="2"/>
            <w:shd w:val="clear" w:color="auto" w:fill="auto"/>
            <w:vAlign w:val="center"/>
          </w:tcPr>
          <w:p w14:paraId="1A708A99">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858" w:type="dxa"/>
            <w:gridSpan w:val="2"/>
            <w:shd w:val="clear" w:color="auto" w:fill="auto"/>
            <w:vAlign w:val="center"/>
          </w:tcPr>
          <w:p w14:paraId="5ED6CF8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r>
      <w:tr w14:paraId="0F664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25" w:type="dxa"/>
            <w:gridSpan w:val="2"/>
            <w:vMerge w:val="continue"/>
            <w:shd w:val="clear" w:color="auto" w:fill="auto"/>
          </w:tcPr>
          <w:p w14:paraId="43A1C437">
            <w:pPr>
              <w:spacing w:line="260" w:lineRule="exact"/>
              <w:rPr>
                <w:rFonts w:ascii="Times New Roman" w:hAnsi="Times New Roman" w:eastAsiaTheme="minorEastAsia"/>
                <w:color w:val="auto"/>
                <w:sz w:val="15"/>
                <w:szCs w:val="15"/>
                <w:highlight w:val="none"/>
              </w:rPr>
            </w:pPr>
          </w:p>
        </w:tc>
        <w:tc>
          <w:tcPr>
            <w:tcW w:w="872" w:type="dxa"/>
            <w:vMerge w:val="continue"/>
            <w:shd w:val="clear" w:color="auto" w:fill="auto"/>
          </w:tcPr>
          <w:p w14:paraId="3FF91FBE">
            <w:pPr>
              <w:spacing w:line="260" w:lineRule="exact"/>
              <w:rPr>
                <w:rFonts w:ascii="Times New Roman" w:hAnsi="Times New Roman" w:eastAsiaTheme="minorEastAsia"/>
                <w:color w:val="auto"/>
                <w:sz w:val="15"/>
                <w:szCs w:val="15"/>
                <w:highlight w:val="none"/>
              </w:rPr>
            </w:pPr>
          </w:p>
        </w:tc>
        <w:tc>
          <w:tcPr>
            <w:tcW w:w="932" w:type="dxa"/>
            <w:shd w:val="clear" w:color="auto" w:fill="auto"/>
            <w:vAlign w:val="center"/>
          </w:tcPr>
          <w:p w14:paraId="218A6682">
            <w:pPr>
              <w:spacing w:line="260" w:lineRule="exact"/>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865" w:type="dxa"/>
            <w:gridSpan w:val="2"/>
            <w:shd w:val="clear" w:color="auto" w:fill="auto"/>
            <w:vAlign w:val="center"/>
          </w:tcPr>
          <w:p w14:paraId="6F73F2B5">
            <w:pPr>
              <w:spacing w:line="260" w:lineRule="exact"/>
              <w:jc w:val="center"/>
              <w:rPr>
                <w:rFonts w:hint="eastAsia" w:ascii="Times New Roman" w:hAnsi="Times New Roman" w:cs="Times New Roman" w:eastAsiaTheme="minorEastAsia"/>
                <w:color w:val="auto"/>
                <w:sz w:val="15"/>
                <w:szCs w:val="15"/>
                <w:highlight w:val="cyan"/>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0437B53F">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67578A08">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2" w:type="dxa"/>
            <w:shd w:val="clear" w:color="auto" w:fill="auto"/>
            <w:vAlign w:val="center"/>
          </w:tcPr>
          <w:p w14:paraId="70B2295D">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22A6345F">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731AFA90">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70" w:type="dxa"/>
            <w:gridSpan w:val="2"/>
            <w:shd w:val="clear" w:color="auto" w:fill="auto"/>
            <w:vAlign w:val="center"/>
          </w:tcPr>
          <w:p w14:paraId="759C9831">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953" w:type="dxa"/>
            <w:gridSpan w:val="2"/>
            <w:shd w:val="clear" w:color="auto" w:fill="auto"/>
            <w:vAlign w:val="center"/>
          </w:tcPr>
          <w:p w14:paraId="4E8F068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59" w:type="dxa"/>
            <w:gridSpan w:val="2"/>
            <w:shd w:val="clear" w:color="auto" w:fill="auto"/>
            <w:vAlign w:val="center"/>
          </w:tcPr>
          <w:p w14:paraId="2CCCAA88">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3" w:type="dxa"/>
            <w:gridSpan w:val="2"/>
            <w:shd w:val="clear" w:color="auto" w:fill="auto"/>
            <w:vAlign w:val="center"/>
          </w:tcPr>
          <w:p w14:paraId="1EE3695D">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98" w:type="dxa"/>
            <w:gridSpan w:val="2"/>
            <w:shd w:val="clear" w:color="auto" w:fill="auto"/>
            <w:vAlign w:val="center"/>
          </w:tcPr>
          <w:p w14:paraId="622D7939">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858" w:type="dxa"/>
            <w:gridSpan w:val="2"/>
            <w:shd w:val="clear" w:color="auto" w:fill="auto"/>
            <w:vAlign w:val="center"/>
          </w:tcPr>
          <w:p w14:paraId="4691AA77">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r>
      <w:tr w14:paraId="395A4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25" w:type="dxa"/>
            <w:gridSpan w:val="2"/>
            <w:vMerge w:val="continue"/>
            <w:shd w:val="clear" w:color="auto" w:fill="auto"/>
          </w:tcPr>
          <w:p w14:paraId="521EFA77">
            <w:pPr>
              <w:spacing w:line="260" w:lineRule="exact"/>
              <w:rPr>
                <w:rFonts w:ascii="Times New Roman" w:hAnsi="Times New Roman" w:eastAsiaTheme="minorEastAsia"/>
                <w:color w:val="auto"/>
                <w:sz w:val="15"/>
                <w:szCs w:val="15"/>
                <w:highlight w:val="none"/>
              </w:rPr>
            </w:pPr>
          </w:p>
        </w:tc>
        <w:tc>
          <w:tcPr>
            <w:tcW w:w="872" w:type="dxa"/>
            <w:vMerge w:val="continue"/>
            <w:shd w:val="clear" w:color="auto" w:fill="auto"/>
          </w:tcPr>
          <w:p w14:paraId="5989AA6A">
            <w:pPr>
              <w:spacing w:line="260" w:lineRule="exact"/>
              <w:rPr>
                <w:rFonts w:ascii="Times New Roman" w:hAnsi="Times New Roman" w:eastAsiaTheme="minorEastAsia"/>
                <w:color w:val="auto"/>
                <w:sz w:val="15"/>
                <w:szCs w:val="15"/>
                <w:highlight w:val="none"/>
              </w:rPr>
            </w:pPr>
          </w:p>
        </w:tc>
        <w:tc>
          <w:tcPr>
            <w:tcW w:w="932" w:type="dxa"/>
            <w:shd w:val="clear" w:color="auto" w:fill="auto"/>
            <w:vAlign w:val="center"/>
          </w:tcPr>
          <w:p w14:paraId="530E71B3">
            <w:pPr>
              <w:spacing w:line="240" w:lineRule="exact"/>
              <w:ind w:left="-107" w:leftChars="-51" w:right="-67" w:rightChars="-32"/>
              <w:jc w:val="center"/>
              <w:rPr>
                <w:rFonts w:ascii="Times New Roman" w:hAnsi="Times New Roman" w:eastAsiaTheme="minorEastAsia"/>
                <w:color w:val="auto"/>
                <w:sz w:val="15"/>
                <w:szCs w:val="15"/>
                <w:highlight w:val="none"/>
              </w:rPr>
            </w:pPr>
            <w:r>
              <w:rPr>
                <w:rFonts w:hint="eastAsia" w:ascii="Times New Roman" w:hAnsi="Times New Roman" w:eastAsiaTheme="minorEastAsia"/>
                <w:color w:val="auto"/>
                <w:sz w:val="15"/>
                <w:szCs w:val="15"/>
                <w:highlight w:val="none"/>
                <w:lang w:val="en-US" w:eastAsia="zh-CN"/>
              </w:rPr>
              <w:t>/</w:t>
            </w:r>
          </w:p>
        </w:tc>
        <w:tc>
          <w:tcPr>
            <w:tcW w:w="865" w:type="dxa"/>
            <w:gridSpan w:val="2"/>
            <w:shd w:val="clear" w:color="auto" w:fill="auto"/>
            <w:vAlign w:val="center"/>
          </w:tcPr>
          <w:p w14:paraId="71B600A0">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00F94DB5">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514DED80">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2" w:type="dxa"/>
            <w:shd w:val="clear" w:color="auto" w:fill="auto"/>
            <w:vAlign w:val="center"/>
          </w:tcPr>
          <w:p w14:paraId="30D4F1CE">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39418F3C">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13C17338">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70" w:type="dxa"/>
            <w:gridSpan w:val="2"/>
            <w:shd w:val="clear" w:color="auto" w:fill="auto"/>
            <w:vAlign w:val="center"/>
          </w:tcPr>
          <w:p w14:paraId="6B4F903C">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953" w:type="dxa"/>
            <w:gridSpan w:val="2"/>
            <w:shd w:val="clear" w:color="auto" w:fill="auto"/>
            <w:vAlign w:val="center"/>
          </w:tcPr>
          <w:p w14:paraId="507926BC">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59" w:type="dxa"/>
            <w:gridSpan w:val="2"/>
            <w:shd w:val="clear" w:color="auto" w:fill="auto"/>
            <w:vAlign w:val="center"/>
          </w:tcPr>
          <w:p w14:paraId="66E2DA4C">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3" w:type="dxa"/>
            <w:gridSpan w:val="2"/>
            <w:shd w:val="clear" w:color="auto" w:fill="auto"/>
            <w:vAlign w:val="center"/>
          </w:tcPr>
          <w:p w14:paraId="24B758CA">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98" w:type="dxa"/>
            <w:gridSpan w:val="2"/>
            <w:shd w:val="clear" w:color="auto" w:fill="auto"/>
            <w:vAlign w:val="center"/>
          </w:tcPr>
          <w:p w14:paraId="1E9AD4ED">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858" w:type="dxa"/>
            <w:gridSpan w:val="2"/>
            <w:shd w:val="clear" w:color="auto" w:fill="auto"/>
            <w:vAlign w:val="center"/>
          </w:tcPr>
          <w:p w14:paraId="795EA496">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r>
    </w:tbl>
    <w:p w14:paraId="42991687">
      <w:pPr>
        <w:ind w:firstLine="750" w:firstLineChars="500"/>
        <w:rPr>
          <w:rFonts w:hint="eastAsia" w:ascii="宋体" w:hAnsi="宋体" w:eastAsia="宋体" w:cs="宋体"/>
          <w:sz w:val="18"/>
          <w:szCs w:val="20"/>
          <w:highlight w:val="none"/>
          <w:lang w:eastAsia="zh-CN"/>
        </w:rPr>
      </w:pPr>
      <w:r>
        <w:rPr>
          <w:rFonts w:ascii="Times New Roman" w:hAnsi="Times New Roman" w:eastAsiaTheme="minorEastAsia"/>
          <w:color w:val="auto"/>
          <w:sz w:val="15"/>
          <w:highlight w:val="none"/>
        </w:rPr>
        <w:t>注：1、排放增减量：(+)表示增加，(-)表示减少。2、(12)=(6)- (8)- (11)，(9)= (4)-(5)-(8)-(11)+(1)。3、计量单位：废水排放量——万吨/年；废气排放量——万标立方米/年；工业固体废物排放量——万吨/年；水污染物排放浓度——毫克/升</w:t>
      </w:r>
    </w:p>
    <w:sectPr>
      <w:pgSz w:w="16838" w:h="11906" w:orient="landscape"/>
      <w:pgMar w:top="1230" w:right="306" w:bottom="1230" w:left="306"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E184EE">
    <w:pPr>
      <w:pStyle w:val="24"/>
      <w:jc w:val="center"/>
    </w:pPr>
  </w:p>
  <w:p w14:paraId="5A7D7D18">
    <w:pPr>
      <w:pStyle w:val="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52688323"/>
    </w:sdtPr>
    <w:sdtEndPr>
      <w:rPr>
        <w:rFonts w:ascii="Times New Roman" w:hAnsi="Times New Roman"/>
      </w:rPr>
    </w:sdtEndPr>
    <w:sdtContent>
      <w:p w14:paraId="274E778B">
        <w:pPr>
          <w:pStyle w:val="24"/>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28</w:t>
        </w:r>
        <w:r>
          <w:rPr>
            <w:rFonts w:ascii="Times New Roman" w:hAnsi="Times New Roman"/>
          </w:rPr>
          <w:fldChar w:fldCharType="end"/>
        </w:r>
      </w:p>
    </w:sdtContent>
  </w:sdt>
  <w:p w14:paraId="2694211D">
    <w:pPr>
      <w:pStyle w:val="2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F54558"/>
    <w:multiLevelType w:val="singleLevel"/>
    <w:tmpl w:val="93F54558"/>
    <w:lvl w:ilvl="0" w:tentative="0">
      <w:start w:val="1"/>
      <w:numFmt w:val="decimal"/>
      <w:suff w:val="nothing"/>
      <w:lvlText w:val="（%1）"/>
      <w:lvlJc w:val="left"/>
    </w:lvl>
  </w:abstractNum>
  <w:abstractNum w:abstractNumId="1">
    <w:nsid w:val="05CD5846"/>
    <w:multiLevelType w:val="singleLevel"/>
    <w:tmpl w:val="05CD5846"/>
    <w:lvl w:ilvl="0" w:tentative="0">
      <w:start w:val="2"/>
      <w:numFmt w:val="decimal"/>
      <w:suff w:val="nothing"/>
      <w:lvlText w:val="（%1）"/>
      <w:lvlJc w:val="left"/>
    </w:lvl>
  </w:abstractNum>
  <w:abstractNum w:abstractNumId="2">
    <w:nsid w:val="1ED197DF"/>
    <w:multiLevelType w:val="singleLevel"/>
    <w:tmpl w:val="1ED197DF"/>
    <w:lvl w:ilvl="0" w:tentative="0">
      <w:start w:val="1"/>
      <w:numFmt w:val="decimal"/>
      <w:suff w:val="nothing"/>
      <w:lvlText w:val="%1、"/>
      <w:lvlJc w:val="left"/>
    </w:lvl>
  </w:abstractNum>
  <w:abstractNum w:abstractNumId="3">
    <w:nsid w:val="39043218"/>
    <w:multiLevelType w:val="singleLevel"/>
    <w:tmpl w:val="39043218"/>
    <w:lvl w:ilvl="0" w:tentative="0">
      <w:start w:val="6"/>
      <w:numFmt w:val="decimal"/>
      <w:suff w:val="nothing"/>
      <w:lvlText w:val="%1、"/>
      <w:lvlJc w:val="left"/>
    </w:lvl>
  </w:abstractNum>
  <w:abstractNum w:abstractNumId="4">
    <w:nsid w:val="4EB240B2"/>
    <w:multiLevelType w:val="singleLevel"/>
    <w:tmpl w:val="4EB240B2"/>
    <w:lvl w:ilvl="0" w:tentative="0">
      <w:start w:val="1"/>
      <w:numFmt w:val="bullet"/>
      <w:pStyle w:val="18"/>
      <w:lvlText w:val=""/>
      <w:lvlJc w:val="left"/>
      <w:pPr>
        <w:tabs>
          <w:tab w:val="left" w:pos="2040"/>
        </w:tabs>
        <w:ind w:left="2040" w:hanging="360"/>
      </w:pPr>
      <w:rPr>
        <w:rFonts w:hint="default" w:ascii="Wingdings" w:hAnsi="Wingdings"/>
      </w:rPr>
    </w:lvl>
  </w:abstractNum>
  <w:abstractNum w:abstractNumId="5">
    <w:nsid w:val="5723E261"/>
    <w:multiLevelType w:val="singleLevel"/>
    <w:tmpl w:val="5723E261"/>
    <w:lvl w:ilvl="0" w:tentative="0">
      <w:start w:val="1"/>
      <w:numFmt w:val="decimal"/>
      <w:suff w:val="nothing"/>
      <w:lvlText w:val="（%1）"/>
      <w:lvlJc w:val="left"/>
    </w:lvl>
  </w:abstractNum>
  <w:num w:numId="1">
    <w:abstractNumId w:val="4"/>
  </w:num>
  <w:num w:numId="2">
    <w:abstractNumId w:val="1"/>
  </w:num>
  <w:num w:numId="3">
    <w:abstractNumId w:val="2"/>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RiMDk4NTFlMTVlNTkxYjllN2VkMDA5YWQxNjM5Y2UifQ=="/>
  </w:docVars>
  <w:rsids>
    <w:rsidRoot w:val="00401FF0"/>
    <w:rsid w:val="0000136E"/>
    <w:rsid w:val="000021B0"/>
    <w:rsid w:val="000052E9"/>
    <w:rsid w:val="000054D5"/>
    <w:rsid w:val="0000772C"/>
    <w:rsid w:val="00010108"/>
    <w:rsid w:val="000105ED"/>
    <w:rsid w:val="00010DC3"/>
    <w:rsid w:val="000111A8"/>
    <w:rsid w:val="000134F5"/>
    <w:rsid w:val="00013A22"/>
    <w:rsid w:val="00013A9D"/>
    <w:rsid w:val="000146A1"/>
    <w:rsid w:val="00015640"/>
    <w:rsid w:val="000157C6"/>
    <w:rsid w:val="00016908"/>
    <w:rsid w:val="00016CB4"/>
    <w:rsid w:val="00020031"/>
    <w:rsid w:val="0002037B"/>
    <w:rsid w:val="000203BE"/>
    <w:rsid w:val="0002312F"/>
    <w:rsid w:val="00025519"/>
    <w:rsid w:val="00027D19"/>
    <w:rsid w:val="000318BB"/>
    <w:rsid w:val="00032C33"/>
    <w:rsid w:val="00034E24"/>
    <w:rsid w:val="00040B68"/>
    <w:rsid w:val="000427A7"/>
    <w:rsid w:val="00043780"/>
    <w:rsid w:val="00044767"/>
    <w:rsid w:val="00044846"/>
    <w:rsid w:val="000448E4"/>
    <w:rsid w:val="00044C3C"/>
    <w:rsid w:val="00045830"/>
    <w:rsid w:val="00045A50"/>
    <w:rsid w:val="0004796F"/>
    <w:rsid w:val="000508F7"/>
    <w:rsid w:val="00050E65"/>
    <w:rsid w:val="000511F6"/>
    <w:rsid w:val="0005120B"/>
    <w:rsid w:val="00052B1A"/>
    <w:rsid w:val="00052B5B"/>
    <w:rsid w:val="00052E3A"/>
    <w:rsid w:val="00053A91"/>
    <w:rsid w:val="00054A71"/>
    <w:rsid w:val="00054ABA"/>
    <w:rsid w:val="00054EC4"/>
    <w:rsid w:val="00055275"/>
    <w:rsid w:val="0005588A"/>
    <w:rsid w:val="000564B5"/>
    <w:rsid w:val="00063EAE"/>
    <w:rsid w:val="00064BED"/>
    <w:rsid w:val="00064FA6"/>
    <w:rsid w:val="00066436"/>
    <w:rsid w:val="000665E8"/>
    <w:rsid w:val="00066CE7"/>
    <w:rsid w:val="00067C7E"/>
    <w:rsid w:val="00067E1A"/>
    <w:rsid w:val="00072A04"/>
    <w:rsid w:val="00072BF5"/>
    <w:rsid w:val="00073DE1"/>
    <w:rsid w:val="0007605E"/>
    <w:rsid w:val="00077484"/>
    <w:rsid w:val="00082187"/>
    <w:rsid w:val="00082ACE"/>
    <w:rsid w:val="00082E1A"/>
    <w:rsid w:val="00084EA4"/>
    <w:rsid w:val="00085680"/>
    <w:rsid w:val="00086B51"/>
    <w:rsid w:val="00091E5C"/>
    <w:rsid w:val="000925CF"/>
    <w:rsid w:val="00093C4E"/>
    <w:rsid w:val="00094BA7"/>
    <w:rsid w:val="00095559"/>
    <w:rsid w:val="00096734"/>
    <w:rsid w:val="00097847"/>
    <w:rsid w:val="000A1EE1"/>
    <w:rsid w:val="000A2157"/>
    <w:rsid w:val="000A4A11"/>
    <w:rsid w:val="000A63C7"/>
    <w:rsid w:val="000A63C8"/>
    <w:rsid w:val="000A6606"/>
    <w:rsid w:val="000A6F75"/>
    <w:rsid w:val="000A7B94"/>
    <w:rsid w:val="000B115A"/>
    <w:rsid w:val="000B1FC1"/>
    <w:rsid w:val="000B25F5"/>
    <w:rsid w:val="000B2B8B"/>
    <w:rsid w:val="000B5A8C"/>
    <w:rsid w:val="000B7091"/>
    <w:rsid w:val="000C010E"/>
    <w:rsid w:val="000C30F2"/>
    <w:rsid w:val="000C360F"/>
    <w:rsid w:val="000C3B04"/>
    <w:rsid w:val="000C701D"/>
    <w:rsid w:val="000C7981"/>
    <w:rsid w:val="000D073F"/>
    <w:rsid w:val="000D1774"/>
    <w:rsid w:val="000D3559"/>
    <w:rsid w:val="000D3799"/>
    <w:rsid w:val="000D3B48"/>
    <w:rsid w:val="000D47E1"/>
    <w:rsid w:val="000D70B1"/>
    <w:rsid w:val="000D74C3"/>
    <w:rsid w:val="000D7D27"/>
    <w:rsid w:val="000E3558"/>
    <w:rsid w:val="000E46E0"/>
    <w:rsid w:val="000E52AD"/>
    <w:rsid w:val="000E59AA"/>
    <w:rsid w:val="000F0895"/>
    <w:rsid w:val="000F3C93"/>
    <w:rsid w:val="000F45FE"/>
    <w:rsid w:val="001009AA"/>
    <w:rsid w:val="001013D9"/>
    <w:rsid w:val="001044BE"/>
    <w:rsid w:val="00104E7F"/>
    <w:rsid w:val="00105CAC"/>
    <w:rsid w:val="00110D8B"/>
    <w:rsid w:val="00110EF4"/>
    <w:rsid w:val="00111E2C"/>
    <w:rsid w:val="00112B5D"/>
    <w:rsid w:val="001152C0"/>
    <w:rsid w:val="00117347"/>
    <w:rsid w:val="00120F5F"/>
    <w:rsid w:val="00121BD0"/>
    <w:rsid w:val="00123AEC"/>
    <w:rsid w:val="00124CD7"/>
    <w:rsid w:val="00124D81"/>
    <w:rsid w:val="00125976"/>
    <w:rsid w:val="00126BC6"/>
    <w:rsid w:val="0012776F"/>
    <w:rsid w:val="00130F95"/>
    <w:rsid w:val="001312A5"/>
    <w:rsid w:val="0013656C"/>
    <w:rsid w:val="0014113A"/>
    <w:rsid w:val="00141F0B"/>
    <w:rsid w:val="001446E2"/>
    <w:rsid w:val="00145F03"/>
    <w:rsid w:val="00146ECE"/>
    <w:rsid w:val="001519E3"/>
    <w:rsid w:val="00151ACA"/>
    <w:rsid w:val="00153B48"/>
    <w:rsid w:val="00154707"/>
    <w:rsid w:val="001548EA"/>
    <w:rsid w:val="0015491D"/>
    <w:rsid w:val="00154C3E"/>
    <w:rsid w:val="0015575F"/>
    <w:rsid w:val="00160B75"/>
    <w:rsid w:val="00160F10"/>
    <w:rsid w:val="00161960"/>
    <w:rsid w:val="0016360E"/>
    <w:rsid w:val="001658FB"/>
    <w:rsid w:val="0017077F"/>
    <w:rsid w:val="001719E0"/>
    <w:rsid w:val="00176542"/>
    <w:rsid w:val="001775B9"/>
    <w:rsid w:val="00177B18"/>
    <w:rsid w:val="00180837"/>
    <w:rsid w:val="0018296A"/>
    <w:rsid w:val="00183CBC"/>
    <w:rsid w:val="001846D7"/>
    <w:rsid w:val="00187704"/>
    <w:rsid w:val="00191B84"/>
    <w:rsid w:val="00193143"/>
    <w:rsid w:val="001938BC"/>
    <w:rsid w:val="0019414C"/>
    <w:rsid w:val="0019494B"/>
    <w:rsid w:val="001A05F5"/>
    <w:rsid w:val="001A0B62"/>
    <w:rsid w:val="001A2CCC"/>
    <w:rsid w:val="001A33DF"/>
    <w:rsid w:val="001A4966"/>
    <w:rsid w:val="001A5395"/>
    <w:rsid w:val="001A6B2D"/>
    <w:rsid w:val="001A6EEF"/>
    <w:rsid w:val="001B0620"/>
    <w:rsid w:val="001B0B2B"/>
    <w:rsid w:val="001B4D01"/>
    <w:rsid w:val="001B6D3E"/>
    <w:rsid w:val="001C076B"/>
    <w:rsid w:val="001C09E8"/>
    <w:rsid w:val="001C0ACA"/>
    <w:rsid w:val="001C30F8"/>
    <w:rsid w:val="001C46DB"/>
    <w:rsid w:val="001C78C1"/>
    <w:rsid w:val="001C795B"/>
    <w:rsid w:val="001D0657"/>
    <w:rsid w:val="001D0E80"/>
    <w:rsid w:val="001D244A"/>
    <w:rsid w:val="001D26CB"/>
    <w:rsid w:val="001D3326"/>
    <w:rsid w:val="001D59E1"/>
    <w:rsid w:val="001E152B"/>
    <w:rsid w:val="001E15A0"/>
    <w:rsid w:val="001E43CE"/>
    <w:rsid w:val="001E4449"/>
    <w:rsid w:val="001E7C88"/>
    <w:rsid w:val="001E7D9B"/>
    <w:rsid w:val="001F094C"/>
    <w:rsid w:val="001F0F2D"/>
    <w:rsid w:val="001F0F9D"/>
    <w:rsid w:val="001F12BB"/>
    <w:rsid w:val="001F18D8"/>
    <w:rsid w:val="001F2BCA"/>
    <w:rsid w:val="001F2FB8"/>
    <w:rsid w:val="001F3289"/>
    <w:rsid w:val="001F560D"/>
    <w:rsid w:val="001F5740"/>
    <w:rsid w:val="001F67D2"/>
    <w:rsid w:val="00201B76"/>
    <w:rsid w:val="002034FB"/>
    <w:rsid w:val="00203B8B"/>
    <w:rsid w:val="00204725"/>
    <w:rsid w:val="00204A55"/>
    <w:rsid w:val="00204D72"/>
    <w:rsid w:val="002056B6"/>
    <w:rsid w:val="00205CFC"/>
    <w:rsid w:val="00206024"/>
    <w:rsid w:val="00207510"/>
    <w:rsid w:val="00207767"/>
    <w:rsid w:val="00207E0D"/>
    <w:rsid w:val="002106A2"/>
    <w:rsid w:val="00210891"/>
    <w:rsid w:val="00210A4A"/>
    <w:rsid w:val="00210F08"/>
    <w:rsid w:val="0021182E"/>
    <w:rsid w:val="00215896"/>
    <w:rsid w:val="00216192"/>
    <w:rsid w:val="002171BF"/>
    <w:rsid w:val="00217610"/>
    <w:rsid w:val="0022009B"/>
    <w:rsid w:val="002203C1"/>
    <w:rsid w:val="00221149"/>
    <w:rsid w:val="0022689C"/>
    <w:rsid w:val="00227BD5"/>
    <w:rsid w:val="00227E0E"/>
    <w:rsid w:val="00230C4B"/>
    <w:rsid w:val="00230D36"/>
    <w:rsid w:val="00231223"/>
    <w:rsid w:val="002316DB"/>
    <w:rsid w:val="00232B50"/>
    <w:rsid w:val="00234C10"/>
    <w:rsid w:val="00234ED2"/>
    <w:rsid w:val="002368FA"/>
    <w:rsid w:val="00236986"/>
    <w:rsid w:val="00237DAB"/>
    <w:rsid w:val="002401F1"/>
    <w:rsid w:val="0024086C"/>
    <w:rsid w:val="00240C9E"/>
    <w:rsid w:val="0024147D"/>
    <w:rsid w:val="00241F8D"/>
    <w:rsid w:val="00242A8D"/>
    <w:rsid w:val="00245041"/>
    <w:rsid w:val="0024639A"/>
    <w:rsid w:val="00246D6E"/>
    <w:rsid w:val="00251A25"/>
    <w:rsid w:val="0025351E"/>
    <w:rsid w:val="00254C29"/>
    <w:rsid w:val="00254F6D"/>
    <w:rsid w:val="00256E0F"/>
    <w:rsid w:val="00257B96"/>
    <w:rsid w:val="002616B2"/>
    <w:rsid w:val="00262F2E"/>
    <w:rsid w:val="002643E5"/>
    <w:rsid w:val="00270BEC"/>
    <w:rsid w:val="0027236E"/>
    <w:rsid w:val="00273F2E"/>
    <w:rsid w:val="00275078"/>
    <w:rsid w:val="00275229"/>
    <w:rsid w:val="002769C1"/>
    <w:rsid w:val="002800C7"/>
    <w:rsid w:val="00281271"/>
    <w:rsid w:val="00282BBC"/>
    <w:rsid w:val="00285047"/>
    <w:rsid w:val="0028612C"/>
    <w:rsid w:val="00286D29"/>
    <w:rsid w:val="00292A6A"/>
    <w:rsid w:val="00293C71"/>
    <w:rsid w:val="00295D60"/>
    <w:rsid w:val="00297DA1"/>
    <w:rsid w:val="002A03F8"/>
    <w:rsid w:val="002A2227"/>
    <w:rsid w:val="002A63E6"/>
    <w:rsid w:val="002A6F77"/>
    <w:rsid w:val="002B3191"/>
    <w:rsid w:val="002B3D01"/>
    <w:rsid w:val="002B56C9"/>
    <w:rsid w:val="002B6B62"/>
    <w:rsid w:val="002C0282"/>
    <w:rsid w:val="002C3562"/>
    <w:rsid w:val="002C375A"/>
    <w:rsid w:val="002C3DB7"/>
    <w:rsid w:val="002C3F05"/>
    <w:rsid w:val="002C4D2A"/>
    <w:rsid w:val="002D0BDB"/>
    <w:rsid w:val="002D0DC3"/>
    <w:rsid w:val="002D0E5D"/>
    <w:rsid w:val="002D12E3"/>
    <w:rsid w:val="002D15E2"/>
    <w:rsid w:val="002D162C"/>
    <w:rsid w:val="002D18E8"/>
    <w:rsid w:val="002D2399"/>
    <w:rsid w:val="002D292B"/>
    <w:rsid w:val="002D2C65"/>
    <w:rsid w:val="002D36F0"/>
    <w:rsid w:val="002D3EBB"/>
    <w:rsid w:val="002D4309"/>
    <w:rsid w:val="002D53D8"/>
    <w:rsid w:val="002D6ABA"/>
    <w:rsid w:val="002D7FFC"/>
    <w:rsid w:val="002E0D20"/>
    <w:rsid w:val="002E55C9"/>
    <w:rsid w:val="002F0B8E"/>
    <w:rsid w:val="002F154C"/>
    <w:rsid w:val="002F212F"/>
    <w:rsid w:val="002F24EC"/>
    <w:rsid w:val="002F2635"/>
    <w:rsid w:val="002F295F"/>
    <w:rsid w:val="002F2AD6"/>
    <w:rsid w:val="002F42C1"/>
    <w:rsid w:val="002F4CEE"/>
    <w:rsid w:val="002F5794"/>
    <w:rsid w:val="002F5A74"/>
    <w:rsid w:val="002F6D86"/>
    <w:rsid w:val="002F753A"/>
    <w:rsid w:val="002F78FA"/>
    <w:rsid w:val="002F79F4"/>
    <w:rsid w:val="003002A0"/>
    <w:rsid w:val="00300FC1"/>
    <w:rsid w:val="00301DBA"/>
    <w:rsid w:val="00302C7C"/>
    <w:rsid w:val="00303374"/>
    <w:rsid w:val="00305527"/>
    <w:rsid w:val="003079EF"/>
    <w:rsid w:val="0031277E"/>
    <w:rsid w:val="003164E6"/>
    <w:rsid w:val="00316F65"/>
    <w:rsid w:val="00317D50"/>
    <w:rsid w:val="003207A2"/>
    <w:rsid w:val="00321EEB"/>
    <w:rsid w:val="00323DB8"/>
    <w:rsid w:val="0032765F"/>
    <w:rsid w:val="003277E1"/>
    <w:rsid w:val="00332EE8"/>
    <w:rsid w:val="00334BCD"/>
    <w:rsid w:val="003361B9"/>
    <w:rsid w:val="00336A0A"/>
    <w:rsid w:val="00341721"/>
    <w:rsid w:val="00341EE6"/>
    <w:rsid w:val="00343B15"/>
    <w:rsid w:val="0034492A"/>
    <w:rsid w:val="00344A00"/>
    <w:rsid w:val="00344CB3"/>
    <w:rsid w:val="003451C4"/>
    <w:rsid w:val="00345572"/>
    <w:rsid w:val="00345BA0"/>
    <w:rsid w:val="003509E4"/>
    <w:rsid w:val="00350D8F"/>
    <w:rsid w:val="0035277C"/>
    <w:rsid w:val="0035331A"/>
    <w:rsid w:val="00360E9B"/>
    <w:rsid w:val="00360F87"/>
    <w:rsid w:val="00361A88"/>
    <w:rsid w:val="003667B6"/>
    <w:rsid w:val="00366FBA"/>
    <w:rsid w:val="00370E85"/>
    <w:rsid w:val="00370E8E"/>
    <w:rsid w:val="0037111E"/>
    <w:rsid w:val="003734D3"/>
    <w:rsid w:val="00375D69"/>
    <w:rsid w:val="00376602"/>
    <w:rsid w:val="0038119A"/>
    <w:rsid w:val="00381F40"/>
    <w:rsid w:val="00381F65"/>
    <w:rsid w:val="00384513"/>
    <w:rsid w:val="00384D24"/>
    <w:rsid w:val="003858DF"/>
    <w:rsid w:val="00386290"/>
    <w:rsid w:val="00386CB6"/>
    <w:rsid w:val="00390174"/>
    <w:rsid w:val="00391899"/>
    <w:rsid w:val="0039743E"/>
    <w:rsid w:val="00397B2A"/>
    <w:rsid w:val="003A047B"/>
    <w:rsid w:val="003A05D3"/>
    <w:rsid w:val="003A42AA"/>
    <w:rsid w:val="003A67C4"/>
    <w:rsid w:val="003A718A"/>
    <w:rsid w:val="003B2E54"/>
    <w:rsid w:val="003B344C"/>
    <w:rsid w:val="003B3525"/>
    <w:rsid w:val="003B3FFB"/>
    <w:rsid w:val="003B42A8"/>
    <w:rsid w:val="003B60F3"/>
    <w:rsid w:val="003B72F0"/>
    <w:rsid w:val="003B737E"/>
    <w:rsid w:val="003B7D85"/>
    <w:rsid w:val="003C18B9"/>
    <w:rsid w:val="003C1D79"/>
    <w:rsid w:val="003C213D"/>
    <w:rsid w:val="003C2660"/>
    <w:rsid w:val="003C3133"/>
    <w:rsid w:val="003C42A4"/>
    <w:rsid w:val="003D1024"/>
    <w:rsid w:val="003D18C9"/>
    <w:rsid w:val="003D5E3A"/>
    <w:rsid w:val="003D783D"/>
    <w:rsid w:val="003E125B"/>
    <w:rsid w:val="003E295A"/>
    <w:rsid w:val="003E437B"/>
    <w:rsid w:val="003E474C"/>
    <w:rsid w:val="003E5BCB"/>
    <w:rsid w:val="003E5CF3"/>
    <w:rsid w:val="003E735D"/>
    <w:rsid w:val="003E7488"/>
    <w:rsid w:val="003E76B4"/>
    <w:rsid w:val="003F0D61"/>
    <w:rsid w:val="003F17AF"/>
    <w:rsid w:val="003F2257"/>
    <w:rsid w:val="003F2D07"/>
    <w:rsid w:val="003F34EF"/>
    <w:rsid w:val="003F35B2"/>
    <w:rsid w:val="003F365F"/>
    <w:rsid w:val="003F4E56"/>
    <w:rsid w:val="003F5DD8"/>
    <w:rsid w:val="003F67B1"/>
    <w:rsid w:val="003F7616"/>
    <w:rsid w:val="004006FF"/>
    <w:rsid w:val="00401A36"/>
    <w:rsid w:val="00401FF0"/>
    <w:rsid w:val="004029BD"/>
    <w:rsid w:val="00402AC0"/>
    <w:rsid w:val="00403746"/>
    <w:rsid w:val="004102A1"/>
    <w:rsid w:val="00410DCB"/>
    <w:rsid w:val="0041248A"/>
    <w:rsid w:val="004125F9"/>
    <w:rsid w:val="00412FE9"/>
    <w:rsid w:val="00413912"/>
    <w:rsid w:val="00415F55"/>
    <w:rsid w:val="00420D51"/>
    <w:rsid w:val="00422262"/>
    <w:rsid w:val="00422F47"/>
    <w:rsid w:val="00423802"/>
    <w:rsid w:val="00423A2E"/>
    <w:rsid w:val="004246B4"/>
    <w:rsid w:val="004262DB"/>
    <w:rsid w:val="0043045F"/>
    <w:rsid w:val="00430BE6"/>
    <w:rsid w:val="00432674"/>
    <w:rsid w:val="00436B03"/>
    <w:rsid w:val="0044007D"/>
    <w:rsid w:val="004410E5"/>
    <w:rsid w:val="00441465"/>
    <w:rsid w:val="00443D9B"/>
    <w:rsid w:val="0044422D"/>
    <w:rsid w:val="0044529E"/>
    <w:rsid w:val="0044578C"/>
    <w:rsid w:val="00447E68"/>
    <w:rsid w:val="00450DA2"/>
    <w:rsid w:val="00451EE6"/>
    <w:rsid w:val="004530AC"/>
    <w:rsid w:val="00453B13"/>
    <w:rsid w:val="00454A46"/>
    <w:rsid w:val="00455B16"/>
    <w:rsid w:val="004561C3"/>
    <w:rsid w:val="00456408"/>
    <w:rsid w:val="00461E21"/>
    <w:rsid w:val="00464CB9"/>
    <w:rsid w:val="004657C5"/>
    <w:rsid w:val="00465CE5"/>
    <w:rsid w:val="0046634C"/>
    <w:rsid w:val="004700CD"/>
    <w:rsid w:val="00471183"/>
    <w:rsid w:val="0047135F"/>
    <w:rsid w:val="00471A0D"/>
    <w:rsid w:val="004726B8"/>
    <w:rsid w:val="004735CF"/>
    <w:rsid w:val="0047361D"/>
    <w:rsid w:val="00473D01"/>
    <w:rsid w:val="00474CD7"/>
    <w:rsid w:val="00475320"/>
    <w:rsid w:val="0047549F"/>
    <w:rsid w:val="0047621B"/>
    <w:rsid w:val="00477FB2"/>
    <w:rsid w:val="0048122A"/>
    <w:rsid w:val="004812D4"/>
    <w:rsid w:val="00482A2E"/>
    <w:rsid w:val="00484C06"/>
    <w:rsid w:val="0048548B"/>
    <w:rsid w:val="00486182"/>
    <w:rsid w:val="0048661E"/>
    <w:rsid w:val="004866FB"/>
    <w:rsid w:val="00486A23"/>
    <w:rsid w:val="00491EE0"/>
    <w:rsid w:val="0049217E"/>
    <w:rsid w:val="00492662"/>
    <w:rsid w:val="00492DDA"/>
    <w:rsid w:val="00495694"/>
    <w:rsid w:val="00496053"/>
    <w:rsid w:val="004A01F2"/>
    <w:rsid w:val="004A06B7"/>
    <w:rsid w:val="004A3925"/>
    <w:rsid w:val="004A3C88"/>
    <w:rsid w:val="004A6CD2"/>
    <w:rsid w:val="004A72F1"/>
    <w:rsid w:val="004A767F"/>
    <w:rsid w:val="004B09B9"/>
    <w:rsid w:val="004B1994"/>
    <w:rsid w:val="004B1EDB"/>
    <w:rsid w:val="004B71E6"/>
    <w:rsid w:val="004B7AAA"/>
    <w:rsid w:val="004C1642"/>
    <w:rsid w:val="004C3C83"/>
    <w:rsid w:val="004C556F"/>
    <w:rsid w:val="004C5F2F"/>
    <w:rsid w:val="004D05E2"/>
    <w:rsid w:val="004D0B2C"/>
    <w:rsid w:val="004D1ECF"/>
    <w:rsid w:val="004D1F2B"/>
    <w:rsid w:val="004D306A"/>
    <w:rsid w:val="004D49B4"/>
    <w:rsid w:val="004D4A00"/>
    <w:rsid w:val="004D4E3B"/>
    <w:rsid w:val="004E0D92"/>
    <w:rsid w:val="004E16C0"/>
    <w:rsid w:val="004E1A2E"/>
    <w:rsid w:val="004E233A"/>
    <w:rsid w:val="004E2512"/>
    <w:rsid w:val="004E2972"/>
    <w:rsid w:val="004E2FAF"/>
    <w:rsid w:val="004E55D4"/>
    <w:rsid w:val="004E64F1"/>
    <w:rsid w:val="004F0886"/>
    <w:rsid w:val="004F397A"/>
    <w:rsid w:val="004F4EFB"/>
    <w:rsid w:val="004F5F23"/>
    <w:rsid w:val="004F748E"/>
    <w:rsid w:val="0050015A"/>
    <w:rsid w:val="005006A3"/>
    <w:rsid w:val="00503208"/>
    <w:rsid w:val="005044EB"/>
    <w:rsid w:val="005045E6"/>
    <w:rsid w:val="00505287"/>
    <w:rsid w:val="005072BF"/>
    <w:rsid w:val="005101C2"/>
    <w:rsid w:val="0051377A"/>
    <w:rsid w:val="00514781"/>
    <w:rsid w:val="005158CA"/>
    <w:rsid w:val="005176F3"/>
    <w:rsid w:val="00522CD0"/>
    <w:rsid w:val="00523B81"/>
    <w:rsid w:val="00523DD8"/>
    <w:rsid w:val="00525A36"/>
    <w:rsid w:val="00530423"/>
    <w:rsid w:val="005324AC"/>
    <w:rsid w:val="00534825"/>
    <w:rsid w:val="005419F2"/>
    <w:rsid w:val="00542573"/>
    <w:rsid w:val="00543277"/>
    <w:rsid w:val="00544A7B"/>
    <w:rsid w:val="005457E0"/>
    <w:rsid w:val="00547DCC"/>
    <w:rsid w:val="00550C1E"/>
    <w:rsid w:val="00552E7C"/>
    <w:rsid w:val="005542C5"/>
    <w:rsid w:val="0055708C"/>
    <w:rsid w:val="00563BE2"/>
    <w:rsid w:val="005668C1"/>
    <w:rsid w:val="00567FA1"/>
    <w:rsid w:val="00570F74"/>
    <w:rsid w:val="0057290A"/>
    <w:rsid w:val="00572CC7"/>
    <w:rsid w:val="00573A1F"/>
    <w:rsid w:val="00574DFF"/>
    <w:rsid w:val="00576E74"/>
    <w:rsid w:val="0058063E"/>
    <w:rsid w:val="00580F5B"/>
    <w:rsid w:val="00580FA6"/>
    <w:rsid w:val="00581788"/>
    <w:rsid w:val="00582A9A"/>
    <w:rsid w:val="00582AE9"/>
    <w:rsid w:val="00582FE5"/>
    <w:rsid w:val="00583CFF"/>
    <w:rsid w:val="0058531A"/>
    <w:rsid w:val="005858E4"/>
    <w:rsid w:val="005865B6"/>
    <w:rsid w:val="005868DD"/>
    <w:rsid w:val="00586B30"/>
    <w:rsid w:val="00587481"/>
    <w:rsid w:val="00587BAB"/>
    <w:rsid w:val="00587E45"/>
    <w:rsid w:val="00587F46"/>
    <w:rsid w:val="0059172D"/>
    <w:rsid w:val="005924A9"/>
    <w:rsid w:val="00593181"/>
    <w:rsid w:val="005936B8"/>
    <w:rsid w:val="005944F5"/>
    <w:rsid w:val="00594BB2"/>
    <w:rsid w:val="005955F9"/>
    <w:rsid w:val="005A05A1"/>
    <w:rsid w:val="005A27EC"/>
    <w:rsid w:val="005A3995"/>
    <w:rsid w:val="005A52DD"/>
    <w:rsid w:val="005A5A89"/>
    <w:rsid w:val="005A5F09"/>
    <w:rsid w:val="005A705A"/>
    <w:rsid w:val="005A7235"/>
    <w:rsid w:val="005A7C78"/>
    <w:rsid w:val="005B14E0"/>
    <w:rsid w:val="005B27E3"/>
    <w:rsid w:val="005B48C0"/>
    <w:rsid w:val="005B4BAC"/>
    <w:rsid w:val="005B5219"/>
    <w:rsid w:val="005B5FFE"/>
    <w:rsid w:val="005B6614"/>
    <w:rsid w:val="005C0CB2"/>
    <w:rsid w:val="005C49FF"/>
    <w:rsid w:val="005C531E"/>
    <w:rsid w:val="005C58E8"/>
    <w:rsid w:val="005D00EF"/>
    <w:rsid w:val="005D027C"/>
    <w:rsid w:val="005D1B04"/>
    <w:rsid w:val="005D22A5"/>
    <w:rsid w:val="005D2FE8"/>
    <w:rsid w:val="005D41CC"/>
    <w:rsid w:val="005D43BE"/>
    <w:rsid w:val="005D6B7B"/>
    <w:rsid w:val="005D7E24"/>
    <w:rsid w:val="005E1D34"/>
    <w:rsid w:val="005E1F3E"/>
    <w:rsid w:val="005E2520"/>
    <w:rsid w:val="005E523D"/>
    <w:rsid w:val="005E5568"/>
    <w:rsid w:val="005E59B8"/>
    <w:rsid w:val="005E5BF7"/>
    <w:rsid w:val="005E6532"/>
    <w:rsid w:val="005E6730"/>
    <w:rsid w:val="005E72EB"/>
    <w:rsid w:val="005E7845"/>
    <w:rsid w:val="005F023A"/>
    <w:rsid w:val="005F11CD"/>
    <w:rsid w:val="005F1D92"/>
    <w:rsid w:val="005F3BB3"/>
    <w:rsid w:val="00600185"/>
    <w:rsid w:val="006027CC"/>
    <w:rsid w:val="00602D3D"/>
    <w:rsid w:val="00603535"/>
    <w:rsid w:val="006048DC"/>
    <w:rsid w:val="006074D2"/>
    <w:rsid w:val="00610A77"/>
    <w:rsid w:val="00611F00"/>
    <w:rsid w:val="0061549C"/>
    <w:rsid w:val="006160EF"/>
    <w:rsid w:val="006168A2"/>
    <w:rsid w:val="0061695C"/>
    <w:rsid w:val="00621AB1"/>
    <w:rsid w:val="00622BB2"/>
    <w:rsid w:val="006250A2"/>
    <w:rsid w:val="006262DF"/>
    <w:rsid w:val="00626A98"/>
    <w:rsid w:val="00626DCA"/>
    <w:rsid w:val="00626FFB"/>
    <w:rsid w:val="00627CA6"/>
    <w:rsid w:val="00630035"/>
    <w:rsid w:val="00630503"/>
    <w:rsid w:val="0063074E"/>
    <w:rsid w:val="00631091"/>
    <w:rsid w:val="00631731"/>
    <w:rsid w:val="00631F17"/>
    <w:rsid w:val="00635409"/>
    <w:rsid w:val="0063636E"/>
    <w:rsid w:val="006365E8"/>
    <w:rsid w:val="00636A0D"/>
    <w:rsid w:val="0064030F"/>
    <w:rsid w:val="00640BF7"/>
    <w:rsid w:val="00642E04"/>
    <w:rsid w:val="006454A0"/>
    <w:rsid w:val="006469F6"/>
    <w:rsid w:val="00647419"/>
    <w:rsid w:val="00647F42"/>
    <w:rsid w:val="00650EC4"/>
    <w:rsid w:val="0065257C"/>
    <w:rsid w:val="006544C1"/>
    <w:rsid w:val="006546A2"/>
    <w:rsid w:val="00654A29"/>
    <w:rsid w:val="006552BC"/>
    <w:rsid w:val="006572FB"/>
    <w:rsid w:val="00660405"/>
    <w:rsid w:val="0066201E"/>
    <w:rsid w:val="00662FAB"/>
    <w:rsid w:val="00663834"/>
    <w:rsid w:val="00664104"/>
    <w:rsid w:val="0066642A"/>
    <w:rsid w:val="006664EA"/>
    <w:rsid w:val="0066684D"/>
    <w:rsid w:val="00667880"/>
    <w:rsid w:val="006679C9"/>
    <w:rsid w:val="00670318"/>
    <w:rsid w:val="0067125C"/>
    <w:rsid w:val="0067141D"/>
    <w:rsid w:val="006717E1"/>
    <w:rsid w:val="006718AE"/>
    <w:rsid w:val="00673E3D"/>
    <w:rsid w:val="006759E1"/>
    <w:rsid w:val="00676FC2"/>
    <w:rsid w:val="006770EF"/>
    <w:rsid w:val="00677FDC"/>
    <w:rsid w:val="006819FC"/>
    <w:rsid w:val="0068256B"/>
    <w:rsid w:val="006837CF"/>
    <w:rsid w:val="0068381E"/>
    <w:rsid w:val="006930E1"/>
    <w:rsid w:val="00694A56"/>
    <w:rsid w:val="006A429C"/>
    <w:rsid w:val="006A5826"/>
    <w:rsid w:val="006A5BD3"/>
    <w:rsid w:val="006A5DEA"/>
    <w:rsid w:val="006A6045"/>
    <w:rsid w:val="006A6436"/>
    <w:rsid w:val="006A6595"/>
    <w:rsid w:val="006B126A"/>
    <w:rsid w:val="006B1B9F"/>
    <w:rsid w:val="006B42DA"/>
    <w:rsid w:val="006B6534"/>
    <w:rsid w:val="006B6D6E"/>
    <w:rsid w:val="006C1D37"/>
    <w:rsid w:val="006C391B"/>
    <w:rsid w:val="006C5630"/>
    <w:rsid w:val="006C74D0"/>
    <w:rsid w:val="006D2C3D"/>
    <w:rsid w:val="006D39D3"/>
    <w:rsid w:val="006D3C7A"/>
    <w:rsid w:val="006D4235"/>
    <w:rsid w:val="006D513C"/>
    <w:rsid w:val="006E30C9"/>
    <w:rsid w:val="006E5A35"/>
    <w:rsid w:val="006E62DF"/>
    <w:rsid w:val="006F1D1D"/>
    <w:rsid w:val="006F1EAE"/>
    <w:rsid w:val="006F355A"/>
    <w:rsid w:val="006F4015"/>
    <w:rsid w:val="006F48A7"/>
    <w:rsid w:val="006F55F8"/>
    <w:rsid w:val="006F5CC9"/>
    <w:rsid w:val="006F650B"/>
    <w:rsid w:val="006F6D31"/>
    <w:rsid w:val="00700157"/>
    <w:rsid w:val="00702F19"/>
    <w:rsid w:val="00703344"/>
    <w:rsid w:val="007036A7"/>
    <w:rsid w:val="00703A30"/>
    <w:rsid w:val="00704431"/>
    <w:rsid w:val="007062DE"/>
    <w:rsid w:val="00706C20"/>
    <w:rsid w:val="00707F91"/>
    <w:rsid w:val="007123C6"/>
    <w:rsid w:val="0071352D"/>
    <w:rsid w:val="007146A9"/>
    <w:rsid w:val="007157A6"/>
    <w:rsid w:val="00716D28"/>
    <w:rsid w:val="00720922"/>
    <w:rsid w:val="00720A08"/>
    <w:rsid w:val="00721176"/>
    <w:rsid w:val="0072185E"/>
    <w:rsid w:val="00721E6A"/>
    <w:rsid w:val="0073039B"/>
    <w:rsid w:val="00730D50"/>
    <w:rsid w:val="00731211"/>
    <w:rsid w:val="007327F7"/>
    <w:rsid w:val="00732B26"/>
    <w:rsid w:val="00736451"/>
    <w:rsid w:val="00740134"/>
    <w:rsid w:val="00744591"/>
    <w:rsid w:val="00746453"/>
    <w:rsid w:val="00746CF3"/>
    <w:rsid w:val="00747D8D"/>
    <w:rsid w:val="00747DE4"/>
    <w:rsid w:val="00757625"/>
    <w:rsid w:val="00757640"/>
    <w:rsid w:val="00757857"/>
    <w:rsid w:val="007608BD"/>
    <w:rsid w:val="00761211"/>
    <w:rsid w:val="0076398B"/>
    <w:rsid w:val="007641B1"/>
    <w:rsid w:val="00764D44"/>
    <w:rsid w:val="007650EE"/>
    <w:rsid w:val="00766F52"/>
    <w:rsid w:val="00771B71"/>
    <w:rsid w:val="00772194"/>
    <w:rsid w:val="00772B7D"/>
    <w:rsid w:val="00774037"/>
    <w:rsid w:val="007755B9"/>
    <w:rsid w:val="00775FF7"/>
    <w:rsid w:val="0077651A"/>
    <w:rsid w:val="00776D2F"/>
    <w:rsid w:val="0077773D"/>
    <w:rsid w:val="0078257F"/>
    <w:rsid w:val="00783384"/>
    <w:rsid w:val="00784627"/>
    <w:rsid w:val="00784AA5"/>
    <w:rsid w:val="00790676"/>
    <w:rsid w:val="00790EC5"/>
    <w:rsid w:val="00791DDC"/>
    <w:rsid w:val="00792A80"/>
    <w:rsid w:val="00792D2F"/>
    <w:rsid w:val="00793195"/>
    <w:rsid w:val="007A1426"/>
    <w:rsid w:val="007A22BF"/>
    <w:rsid w:val="007A4CDE"/>
    <w:rsid w:val="007A58AD"/>
    <w:rsid w:val="007A5E1F"/>
    <w:rsid w:val="007B0392"/>
    <w:rsid w:val="007B103A"/>
    <w:rsid w:val="007B139E"/>
    <w:rsid w:val="007B1714"/>
    <w:rsid w:val="007B1981"/>
    <w:rsid w:val="007B234E"/>
    <w:rsid w:val="007B26DF"/>
    <w:rsid w:val="007B337A"/>
    <w:rsid w:val="007B52DD"/>
    <w:rsid w:val="007B61B0"/>
    <w:rsid w:val="007B7A98"/>
    <w:rsid w:val="007C1C69"/>
    <w:rsid w:val="007C5AED"/>
    <w:rsid w:val="007C64D1"/>
    <w:rsid w:val="007D10AC"/>
    <w:rsid w:val="007D18FD"/>
    <w:rsid w:val="007D200B"/>
    <w:rsid w:val="007D201B"/>
    <w:rsid w:val="007D2887"/>
    <w:rsid w:val="007D37C0"/>
    <w:rsid w:val="007D4296"/>
    <w:rsid w:val="007D4BB3"/>
    <w:rsid w:val="007D7064"/>
    <w:rsid w:val="007E05DD"/>
    <w:rsid w:val="007E13D8"/>
    <w:rsid w:val="007E1FD9"/>
    <w:rsid w:val="007E2296"/>
    <w:rsid w:val="007E5755"/>
    <w:rsid w:val="007E5BB5"/>
    <w:rsid w:val="007E6A96"/>
    <w:rsid w:val="007E7142"/>
    <w:rsid w:val="007E756B"/>
    <w:rsid w:val="007F2DB6"/>
    <w:rsid w:val="007F3C33"/>
    <w:rsid w:val="007F467B"/>
    <w:rsid w:val="007F50CB"/>
    <w:rsid w:val="007F529C"/>
    <w:rsid w:val="007F58C7"/>
    <w:rsid w:val="007F5A00"/>
    <w:rsid w:val="007F747F"/>
    <w:rsid w:val="00801501"/>
    <w:rsid w:val="008018BD"/>
    <w:rsid w:val="00801BDC"/>
    <w:rsid w:val="00803621"/>
    <w:rsid w:val="00804851"/>
    <w:rsid w:val="00807E2C"/>
    <w:rsid w:val="008108CC"/>
    <w:rsid w:val="008117A2"/>
    <w:rsid w:val="00812262"/>
    <w:rsid w:val="00813FAE"/>
    <w:rsid w:val="0081522A"/>
    <w:rsid w:val="00815A41"/>
    <w:rsid w:val="00817822"/>
    <w:rsid w:val="00820065"/>
    <w:rsid w:val="00820A68"/>
    <w:rsid w:val="00822159"/>
    <w:rsid w:val="0082279A"/>
    <w:rsid w:val="0082396C"/>
    <w:rsid w:val="00825F0B"/>
    <w:rsid w:val="0082798E"/>
    <w:rsid w:val="008320D3"/>
    <w:rsid w:val="00833A1B"/>
    <w:rsid w:val="00833D40"/>
    <w:rsid w:val="00834671"/>
    <w:rsid w:val="00835D74"/>
    <w:rsid w:val="008364BC"/>
    <w:rsid w:val="00836EA8"/>
    <w:rsid w:val="00837D28"/>
    <w:rsid w:val="00840346"/>
    <w:rsid w:val="0084113E"/>
    <w:rsid w:val="00841212"/>
    <w:rsid w:val="0084142D"/>
    <w:rsid w:val="00841507"/>
    <w:rsid w:val="00842038"/>
    <w:rsid w:val="008421AC"/>
    <w:rsid w:val="008463B7"/>
    <w:rsid w:val="008464D3"/>
    <w:rsid w:val="00853D59"/>
    <w:rsid w:val="00854B17"/>
    <w:rsid w:val="0085571E"/>
    <w:rsid w:val="008564CA"/>
    <w:rsid w:val="0085710D"/>
    <w:rsid w:val="008576D5"/>
    <w:rsid w:val="00860AE5"/>
    <w:rsid w:val="00862280"/>
    <w:rsid w:val="008648BD"/>
    <w:rsid w:val="0086511F"/>
    <w:rsid w:val="008651F3"/>
    <w:rsid w:val="00865CE9"/>
    <w:rsid w:val="0086608F"/>
    <w:rsid w:val="00866BC9"/>
    <w:rsid w:val="00867735"/>
    <w:rsid w:val="00871A1D"/>
    <w:rsid w:val="00871A7F"/>
    <w:rsid w:val="0087218E"/>
    <w:rsid w:val="008726DD"/>
    <w:rsid w:val="00873343"/>
    <w:rsid w:val="008771A0"/>
    <w:rsid w:val="00877654"/>
    <w:rsid w:val="00880C5D"/>
    <w:rsid w:val="00881417"/>
    <w:rsid w:val="008847D4"/>
    <w:rsid w:val="0088637F"/>
    <w:rsid w:val="00890ACE"/>
    <w:rsid w:val="008910B5"/>
    <w:rsid w:val="008920AE"/>
    <w:rsid w:val="00893685"/>
    <w:rsid w:val="00893D6A"/>
    <w:rsid w:val="00893E6C"/>
    <w:rsid w:val="00895396"/>
    <w:rsid w:val="00895615"/>
    <w:rsid w:val="00896A25"/>
    <w:rsid w:val="00897D8A"/>
    <w:rsid w:val="008A0267"/>
    <w:rsid w:val="008A1D5A"/>
    <w:rsid w:val="008A3B3F"/>
    <w:rsid w:val="008A3C3B"/>
    <w:rsid w:val="008A3C9D"/>
    <w:rsid w:val="008A4121"/>
    <w:rsid w:val="008A4A2D"/>
    <w:rsid w:val="008B12D7"/>
    <w:rsid w:val="008B2197"/>
    <w:rsid w:val="008B2B75"/>
    <w:rsid w:val="008B33FA"/>
    <w:rsid w:val="008B3C1C"/>
    <w:rsid w:val="008B6402"/>
    <w:rsid w:val="008B6797"/>
    <w:rsid w:val="008B6F9B"/>
    <w:rsid w:val="008B7CD2"/>
    <w:rsid w:val="008B7E0F"/>
    <w:rsid w:val="008C061D"/>
    <w:rsid w:val="008C3228"/>
    <w:rsid w:val="008C4E23"/>
    <w:rsid w:val="008C5DC7"/>
    <w:rsid w:val="008C5E9A"/>
    <w:rsid w:val="008C7573"/>
    <w:rsid w:val="008D03AD"/>
    <w:rsid w:val="008D0ECF"/>
    <w:rsid w:val="008D10B1"/>
    <w:rsid w:val="008D1D4D"/>
    <w:rsid w:val="008D3DBD"/>
    <w:rsid w:val="008D5B9C"/>
    <w:rsid w:val="008D6648"/>
    <w:rsid w:val="008E17D0"/>
    <w:rsid w:val="008E1950"/>
    <w:rsid w:val="008E1B2F"/>
    <w:rsid w:val="008E2A13"/>
    <w:rsid w:val="008E3350"/>
    <w:rsid w:val="008E4861"/>
    <w:rsid w:val="008E5E0C"/>
    <w:rsid w:val="008E7149"/>
    <w:rsid w:val="008F0337"/>
    <w:rsid w:val="008F195A"/>
    <w:rsid w:val="008F1E9A"/>
    <w:rsid w:val="008F2FDA"/>
    <w:rsid w:val="008F47D5"/>
    <w:rsid w:val="008F5155"/>
    <w:rsid w:val="008F5466"/>
    <w:rsid w:val="008F7CA9"/>
    <w:rsid w:val="008F7EC1"/>
    <w:rsid w:val="009041F4"/>
    <w:rsid w:val="009053E7"/>
    <w:rsid w:val="0090687B"/>
    <w:rsid w:val="0090766A"/>
    <w:rsid w:val="00911D2B"/>
    <w:rsid w:val="00912517"/>
    <w:rsid w:val="009137B9"/>
    <w:rsid w:val="00914159"/>
    <w:rsid w:val="009162E5"/>
    <w:rsid w:val="00916592"/>
    <w:rsid w:val="00920899"/>
    <w:rsid w:val="0092239B"/>
    <w:rsid w:val="009225A7"/>
    <w:rsid w:val="00922D9F"/>
    <w:rsid w:val="00923759"/>
    <w:rsid w:val="00925678"/>
    <w:rsid w:val="00925B4B"/>
    <w:rsid w:val="00926836"/>
    <w:rsid w:val="00930CD5"/>
    <w:rsid w:val="00932B64"/>
    <w:rsid w:val="00934A20"/>
    <w:rsid w:val="00934B0B"/>
    <w:rsid w:val="0093659F"/>
    <w:rsid w:val="00936CBA"/>
    <w:rsid w:val="009374AE"/>
    <w:rsid w:val="00937DCC"/>
    <w:rsid w:val="0094371B"/>
    <w:rsid w:val="00945FA5"/>
    <w:rsid w:val="00947283"/>
    <w:rsid w:val="00947D46"/>
    <w:rsid w:val="0095080C"/>
    <w:rsid w:val="0095155A"/>
    <w:rsid w:val="00953C1C"/>
    <w:rsid w:val="009546A5"/>
    <w:rsid w:val="009568AF"/>
    <w:rsid w:val="00960541"/>
    <w:rsid w:val="009608DD"/>
    <w:rsid w:val="00960939"/>
    <w:rsid w:val="00961659"/>
    <w:rsid w:val="00961F82"/>
    <w:rsid w:val="00962AB9"/>
    <w:rsid w:val="00962AE4"/>
    <w:rsid w:val="00962EF0"/>
    <w:rsid w:val="0096339F"/>
    <w:rsid w:val="009647D9"/>
    <w:rsid w:val="00965037"/>
    <w:rsid w:val="00965B44"/>
    <w:rsid w:val="00967E4D"/>
    <w:rsid w:val="00970611"/>
    <w:rsid w:val="009715F6"/>
    <w:rsid w:val="00971834"/>
    <w:rsid w:val="00972FBF"/>
    <w:rsid w:val="0097689A"/>
    <w:rsid w:val="00982ABC"/>
    <w:rsid w:val="009839C5"/>
    <w:rsid w:val="00984E0F"/>
    <w:rsid w:val="0098512B"/>
    <w:rsid w:val="00985585"/>
    <w:rsid w:val="009858AA"/>
    <w:rsid w:val="009867D7"/>
    <w:rsid w:val="0099174E"/>
    <w:rsid w:val="00993DC8"/>
    <w:rsid w:val="00996038"/>
    <w:rsid w:val="00996E67"/>
    <w:rsid w:val="009A005B"/>
    <w:rsid w:val="009A08ED"/>
    <w:rsid w:val="009A14F3"/>
    <w:rsid w:val="009A426F"/>
    <w:rsid w:val="009A47DE"/>
    <w:rsid w:val="009A671E"/>
    <w:rsid w:val="009B0873"/>
    <w:rsid w:val="009B2686"/>
    <w:rsid w:val="009B4E6D"/>
    <w:rsid w:val="009B5099"/>
    <w:rsid w:val="009B6AF4"/>
    <w:rsid w:val="009B6ED9"/>
    <w:rsid w:val="009B7CE0"/>
    <w:rsid w:val="009C3F45"/>
    <w:rsid w:val="009C4DE4"/>
    <w:rsid w:val="009C5535"/>
    <w:rsid w:val="009C56B1"/>
    <w:rsid w:val="009C63BD"/>
    <w:rsid w:val="009C799D"/>
    <w:rsid w:val="009C7BFC"/>
    <w:rsid w:val="009D0706"/>
    <w:rsid w:val="009D1342"/>
    <w:rsid w:val="009D17F1"/>
    <w:rsid w:val="009D303C"/>
    <w:rsid w:val="009D4038"/>
    <w:rsid w:val="009D5A60"/>
    <w:rsid w:val="009D6132"/>
    <w:rsid w:val="009D61D5"/>
    <w:rsid w:val="009D6F38"/>
    <w:rsid w:val="009D7E84"/>
    <w:rsid w:val="009D7ED6"/>
    <w:rsid w:val="009E22AE"/>
    <w:rsid w:val="009E3013"/>
    <w:rsid w:val="009E6493"/>
    <w:rsid w:val="009F295C"/>
    <w:rsid w:val="009F4E69"/>
    <w:rsid w:val="009F4F4F"/>
    <w:rsid w:val="009F57B7"/>
    <w:rsid w:val="009F5D39"/>
    <w:rsid w:val="009F5DCD"/>
    <w:rsid w:val="009F5E32"/>
    <w:rsid w:val="009F6ADC"/>
    <w:rsid w:val="00A0062D"/>
    <w:rsid w:val="00A0178A"/>
    <w:rsid w:val="00A021AA"/>
    <w:rsid w:val="00A05202"/>
    <w:rsid w:val="00A071EA"/>
    <w:rsid w:val="00A07797"/>
    <w:rsid w:val="00A10EC9"/>
    <w:rsid w:val="00A11C75"/>
    <w:rsid w:val="00A12C5C"/>
    <w:rsid w:val="00A15F7B"/>
    <w:rsid w:val="00A16D7D"/>
    <w:rsid w:val="00A20952"/>
    <w:rsid w:val="00A22C95"/>
    <w:rsid w:val="00A23421"/>
    <w:rsid w:val="00A3219B"/>
    <w:rsid w:val="00A321C2"/>
    <w:rsid w:val="00A35857"/>
    <w:rsid w:val="00A35D23"/>
    <w:rsid w:val="00A36EE7"/>
    <w:rsid w:val="00A37FC5"/>
    <w:rsid w:val="00A40198"/>
    <w:rsid w:val="00A407BC"/>
    <w:rsid w:val="00A407E4"/>
    <w:rsid w:val="00A412D3"/>
    <w:rsid w:val="00A45265"/>
    <w:rsid w:val="00A46C5B"/>
    <w:rsid w:val="00A508EE"/>
    <w:rsid w:val="00A51330"/>
    <w:rsid w:val="00A516ED"/>
    <w:rsid w:val="00A53145"/>
    <w:rsid w:val="00A5485B"/>
    <w:rsid w:val="00A56778"/>
    <w:rsid w:val="00A60D05"/>
    <w:rsid w:val="00A624BA"/>
    <w:rsid w:val="00A63058"/>
    <w:rsid w:val="00A640D3"/>
    <w:rsid w:val="00A64972"/>
    <w:rsid w:val="00A64C31"/>
    <w:rsid w:val="00A64FD7"/>
    <w:rsid w:val="00A6673E"/>
    <w:rsid w:val="00A70F05"/>
    <w:rsid w:val="00A72AEF"/>
    <w:rsid w:val="00A7355F"/>
    <w:rsid w:val="00A74480"/>
    <w:rsid w:val="00A76E07"/>
    <w:rsid w:val="00A77968"/>
    <w:rsid w:val="00A81564"/>
    <w:rsid w:val="00A834CA"/>
    <w:rsid w:val="00A853E1"/>
    <w:rsid w:val="00A86C42"/>
    <w:rsid w:val="00A87685"/>
    <w:rsid w:val="00A87856"/>
    <w:rsid w:val="00A90E86"/>
    <w:rsid w:val="00A91316"/>
    <w:rsid w:val="00A9166E"/>
    <w:rsid w:val="00A91E02"/>
    <w:rsid w:val="00A9207D"/>
    <w:rsid w:val="00A92100"/>
    <w:rsid w:val="00A93637"/>
    <w:rsid w:val="00A9556B"/>
    <w:rsid w:val="00A95D58"/>
    <w:rsid w:val="00A9618B"/>
    <w:rsid w:val="00A96665"/>
    <w:rsid w:val="00A967F5"/>
    <w:rsid w:val="00A9736D"/>
    <w:rsid w:val="00A97D07"/>
    <w:rsid w:val="00A97DDE"/>
    <w:rsid w:val="00AA1043"/>
    <w:rsid w:val="00AA148C"/>
    <w:rsid w:val="00AA2748"/>
    <w:rsid w:val="00AA3820"/>
    <w:rsid w:val="00AA4BE1"/>
    <w:rsid w:val="00AA4D51"/>
    <w:rsid w:val="00AA6B69"/>
    <w:rsid w:val="00AA6FE8"/>
    <w:rsid w:val="00AA77CC"/>
    <w:rsid w:val="00AA7C73"/>
    <w:rsid w:val="00AB0038"/>
    <w:rsid w:val="00AB1D34"/>
    <w:rsid w:val="00AB2340"/>
    <w:rsid w:val="00AB30F8"/>
    <w:rsid w:val="00AB33AF"/>
    <w:rsid w:val="00AB420A"/>
    <w:rsid w:val="00AB51CA"/>
    <w:rsid w:val="00AB5C7B"/>
    <w:rsid w:val="00AB632E"/>
    <w:rsid w:val="00AB6FCA"/>
    <w:rsid w:val="00AC0026"/>
    <w:rsid w:val="00AC035C"/>
    <w:rsid w:val="00AC2667"/>
    <w:rsid w:val="00AC320B"/>
    <w:rsid w:val="00AC4099"/>
    <w:rsid w:val="00AC4A98"/>
    <w:rsid w:val="00AC5A4C"/>
    <w:rsid w:val="00AC6A55"/>
    <w:rsid w:val="00AD278D"/>
    <w:rsid w:val="00AD3269"/>
    <w:rsid w:val="00AD45F1"/>
    <w:rsid w:val="00AD5DDB"/>
    <w:rsid w:val="00AD7351"/>
    <w:rsid w:val="00AE1ED5"/>
    <w:rsid w:val="00AE211B"/>
    <w:rsid w:val="00AE3169"/>
    <w:rsid w:val="00AE4EF3"/>
    <w:rsid w:val="00AE6E36"/>
    <w:rsid w:val="00AF2583"/>
    <w:rsid w:val="00AF2AB4"/>
    <w:rsid w:val="00AF40E4"/>
    <w:rsid w:val="00AF41AC"/>
    <w:rsid w:val="00AF6500"/>
    <w:rsid w:val="00B02BBF"/>
    <w:rsid w:val="00B05AFB"/>
    <w:rsid w:val="00B06F61"/>
    <w:rsid w:val="00B12418"/>
    <w:rsid w:val="00B133FF"/>
    <w:rsid w:val="00B1402C"/>
    <w:rsid w:val="00B15353"/>
    <w:rsid w:val="00B1586B"/>
    <w:rsid w:val="00B166A3"/>
    <w:rsid w:val="00B1747B"/>
    <w:rsid w:val="00B21388"/>
    <w:rsid w:val="00B23625"/>
    <w:rsid w:val="00B23E7E"/>
    <w:rsid w:val="00B261C8"/>
    <w:rsid w:val="00B26AE7"/>
    <w:rsid w:val="00B305E6"/>
    <w:rsid w:val="00B31D10"/>
    <w:rsid w:val="00B32B74"/>
    <w:rsid w:val="00B32E0A"/>
    <w:rsid w:val="00B357CF"/>
    <w:rsid w:val="00B37891"/>
    <w:rsid w:val="00B40441"/>
    <w:rsid w:val="00B415B8"/>
    <w:rsid w:val="00B43556"/>
    <w:rsid w:val="00B43D92"/>
    <w:rsid w:val="00B46DFE"/>
    <w:rsid w:val="00B47138"/>
    <w:rsid w:val="00B51B01"/>
    <w:rsid w:val="00B52010"/>
    <w:rsid w:val="00B5240B"/>
    <w:rsid w:val="00B53ADB"/>
    <w:rsid w:val="00B54427"/>
    <w:rsid w:val="00B54F99"/>
    <w:rsid w:val="00B5728B"/>
    <w:rsid w:val="00B574B6"/>
    <w:rsid w:val="00B5773A"/>
    <w:rsid w:val="00B57ABC"/>
    <w:rsid w:val="00B60467"/>
    <w:rsid w:val="00B6083D"/>
    <w:rsid w:val="00B620D3"/>
    <w:rsid w:val="00B6751C"/>
    <w:rsid w:val="00B6751E"/>
    <w:rsid w:val="00B7077B"/>
    <w:rsid w:val="00B70BEE"/>
    <w:rsid w:val="00B70D8C"/>
    <w:rsid w:val="00B728E6"/>
    <w:rsid w:val="00B735AA"/>
    <w:rsid w:val="00B737B1"/>
    <w:rsid w:val="00B7417E"/>
    <w:rsid w:val="00B744B4"/>
    <w:rsid w:val="00B7450D"/>
    <w:rsid w:val="00B75839"/>
    <w:rsid w:val="00B75A32"/>
    <w:rsid w:val="00B75FB4"/>
    <w:rsid w:val="00B76B40"/>
    <w:rsid w:val="00B8113A"/>
    <w:rsid w:val="00B818DB"/>
    <w:rsid w:val="00B82924"/>
    <w:rsid w:val="00B848B4"/>
    <w:rsid w:val="00B8617E"/>
    <w:rsid w:val="00B86CCC"/>
    <w:rsid w:val="00B87198"/>
    <w:rsid w:val="00B879D1"/>
    <w:rsid w:val="00B920A8"/>
    <w:rsid w:val="00B9312E"/>
    <w:rsid w:val="00B94482"/>
    <w:rsid w:val="00B94C8E"/>
    <w:rsid w:val="00B94DB5"/>
    <w:rsid w:val="00B96BE3"/>
    <w:rsid w:val="00B97072"/>
    <w:rsid w:val="00B976A4"/>
    <w:rsid w:val="00B97B61"/>
    <w:rsid w:val="00BA047A"/>
    <w:rsid w:val="00BA0511"/>
    <w:rsid w:val="00BA12D1"/>
    <w:rsid w:val="00BA2F23"/>
    <w:rsid w:val="00BA47B8"/>
    <w:rsid w:val="00BA5177"/>
    <w:rsid w:val="00BA5403"/>
    <w:rsid w:val="00BA65C5"/>
    <w:rsid w:val="00BA6894"/>
    <w:rsid w:val="00BA6E72"/>
    <w:rsid w:val="00BB087F"/>
    <w:rsid w:val="00BB11C6"/>
    <w:rsid w:val="00BB26A4"/>
    <w:rsid w:val="00BB7677"/>
    <w:rsid w:val="00BC00F2"/>
    <w:rsid w:val="00BC04FF"/>
    <w:rsid w:val="00BC2BE3"/>
    <w:rsid w:val="00BC549E"/>
    <w:rsid w:val="00BD217B"/>
    <w:rsid w:val="00BD3116"/>
    <w:rsid w:val="00BD33B4"/>
    <w:rsid w:val="00BD43D2"/>
    <w:rsid w:val="00BD5612"/>
    <w:rsid w:val="00BD5790"/>
    <w:rsid w:val="00BD6E21"/>
    <w:rsid w:val="00BD742F"/>
    <w:rsid w:val="00BE2975"/>
    <w:rsid w:val="00BE4F46"/>
    <w:rsid w:val="00BE5676"/>
    <w:rsid w:val="00BE5ACA"/>
    <w:rsid w:val="00BE5C64"/>
    <w:rsid w:val="00BE72CE"/>
    <w:rsid w:val="00BF0EE6"/>
    <w:rsid w:val="00BF0F7E"/>
    <w:rsid w:val="00BF1AA7"/>
    <w:rsid w:val="00BF22BB"/>
    <w:rsid w:val="00BF2F16"/>
    <w:rsid w:val="00BF34A9"/>
    <w:rsid w:val="00BF4A1C"/>
    <w:rsid w:val="00BF53CF"/>
    <w:rsid w:val="00BF605E"/>
    <w:rsid w:val="00BF6B2C"/>
    <w:rsid w:val="00BF6E87"/>
    <w:rsid w:val="00BF71E5"/>
    <w:rsid w:val="00C001FE"/>
    <w:rsid w:val="00C01445"/>
    <w:rsid w:val="00C04287"/>
    <w:rsid w:val="00C05A08"/>
    <w:rsid w:val="00C071BB"/>
    <w:rsid w:val="00C0758D"/>
    <w:rsid w:val="00C1033D"/>
    <w:rsid w:val="00C10785"/>
    <w:rsid w:val="00C10925"/>
    <w:rsid w:val="00C11B1A"/>
    <w:rsid w:val="00C12A55"/>
    <w:rsid w:val="00C12B7E"/>
    <w:rsid w:val="00C134A0"/>
    <w:rsid w:val="00C155B0"/>
    <w:rsid w:val="00C1636D"/>
    <w:rsid w:val="00C1735B"/>
    <w:rsid w:val="00C17684"/>
    <w:rsid w:val="00C17C1D"/>
    <w:rsid w:val="00C207A8"/>
    <w:rsid w:val="00C22CA6"/>
    <w:rsid w:val="00C233D2"/>
    <w:rsid w:val="00C23407"/>
    <w:rsid w:val="00C2377A"/>
    <w:rsid w:val="00C244E5"/>
    <w:rsid w:val="00C245C7"/>
    <w:rsid w:val="00C248E4"/>
    <w:rsid w:val="00C25BE8"/>
    <w:rsid w:val="00C25F48"/>
    <w:rsid w:val="00C26BB1"/>
    <w:rsid w:val="00C300E3"/>
    <w:rsid w:val="00C30D4F"/>
    <w:rsid w:val="00C31A08"/>
    <w:rsid w:val="00C3200D"/>
    <w:rsid w:val="00C32E92"/>
    <w:rsid w:val="00C34222"/>
    <w:rsid w:val="00C35C61"/>
    <w:rsid w:val="00C36D55"/>
    <w:rsid w:val="00C40347"/>
    <w:rsid w:val="00C404D9"/>
    <w:rsid w:val="00C407E1"/>
    <w:rsid w:val="00C40E3F"/>
    <w:rsid w:val="00C41603"/>
    <w:rsid w:val="00C43D6E"/>
    <w:rsid w:val="00C44617"/>
    <w:rsid w:val="00C46089"/>
    <w:rsid w:val="00C4736F"/>
    <w:rsid w:val="00C47CFE"/>
    <w:rsid w:val="00C5384C"/>
    <w:rsid w:val="00C5422C"/>
    <w:rsid w:val="00C5528C"/>
    <w:rsid w:val="00C55B85"/>
    <w:rsid w:val="00C57285"/>
    <w:rsid w:val="00C6058F"/>
    <w:rsid w:val="00C617C4"/>
    <w:rsid w:val="00C629A5"/>
    <w:rsid w:val="00C70077"/>
    <w:rsid w:val="00C7021F"/>
    <w:rsid w:val="00C70FA6"/>
    <w:rsid w:val="00C724A4"/>
    <w:rsid w:val="00C72F77"/>
    <w:rsid w:val="00C739B8"/>
    <w:rsid w:val="00C739B9"/>
    <w:rsid w:val="00C73B6A"/>
    <w:rsid w:val="00C752E7"/>
    <w:rsid w:val="00C75F85"/>
    <w:rsid w:val="00C7697E"/>
    <w:rsid w:val="00C82A18"/>
    <w:rsid w:val="00C84295"/>
    <w:rsid w:val="00C85393"/>
    <w:rsid w:val="00C85419"/>
    <w:rsid w:val="00C85718"/>
    <w:rsid w:val="00C85CDA"/>
    <w:rsid w:val="00C8775E"/>
    <w:rsid w:val="00C87E09"/>
    <w:rsid w:val="00C920B4"/>
    <w:rsid w:val="00C93418"/>
    <w:rsid w:val="00C942DB"/>
    <w:rsid w:val="00C944BE"/>
    <w:rsid w:val="00C953EB"/>
    <w:rsid w:val="00C96530"/>
    <w:rsid w:val="00C97C29"/>
    <w:rsid w:val="00CA0F8C"/>
    <w:rsid w:val="00CA1B2E"/>
    <w:rsid w:val="00CA353A"/>
    <w:rsid w:val="00CA4121"/>
    <w:rsid w:val="00CA52EA"/>
    <w:rsid w:val="00CA57B6"/>
    <w:rsid w:val="00CA59A3"/>
    <w:rsid w:val="00CA59A8"/>
    <w:rsid w:val="00CA6B2F"/>
    <w:rsid w:val="00CA6E3D"/>
    <w:rsid w:val="00CA77E2"/>
    <w:rsid w:val="00CA780C"/>
    <w:rsid w:val="00CB3445"/>
    <w:rsid w:val="00CB3A5F"/>
    <w:rsid w:val="00CB3FE1"/>
    <w:rsid w:val="00CB68FD"/>
    <w:rsid w:val="00CB746D"/>
    <w:rsid w:val="00CC1798"/>
    <w:rsid w:val="00CC413B"/>
    <w:rsid w:val="00CC50F5"/>
    <w:rsid w:val="00CC6DD4"/>
    <w:rsid w:val="00CD1325"/>
    <w:rsid w:val="00CD2CBB"/>
    <w:rsid w:val="00CD4040"/>
    <w:rsid w:val="00CD62C5"/>
    <w:rsid w:val="00CD683B"/>
    <w:rsid w:val="00CE399C"/>
    <w:rsid w:val="00CE3D7E"/>
    <w:rsid w:val="00CE4860"/>
    <w:rsid w:val="00CE5A9C"/>
    <w:rsid w:val="00CE60C5"/>
    <w:rsid w:val="00CE6B65"/>
    <w:rsid w:val="00CF1631"/>
    <w:rsid w:val="00CF304F"/>
    <w:rsid w:val="00CF331D"/>
    <w:rsid w:val="00CF371F"/>
    <w:rsid w:val="00CF615E"/>
    <w:rsid w:val="00CF6D77"/>
    <w:rsid w:val="00CF71F4"/>
    <w:rsid w:val="00CF7A6E"/>
    <w:rsid w:val="00D0202D"/>
    <w:rsid w:val="00D0230C"/>
    <w:rsid w:val="00D02B28"/>
    <w:rsid w:val="00D03BF5"/>
    <w:rsid w:val="00D03DB8"/>
    <w:rsid w:val="00D040D2"/>
    <w:rsid w:val="00D06E39"/>
    <w:rsid w:val="00D11A89"/>
    <w:rsid w:val="00D1227C"/>
    <w:rsid w:val="00D122BB"/>
    <w:rsid w:val="00D1393F"/>
    <w:rsid w:val="00D13BD5"/>
    <w:rsid w:val="00D140B8"/>
    <w:rsid w:val="00D150D9"/>
    <w:rsid w:val="00D167B8"/>
    <w:rsid w:val="00D16BAE"/>
    <w:rsid w:val="00D17414"/>
    <w:rsid w:val="00D200C2"/>
    <w:rsid w:val="00D2187C"/>
    <w:rsid w:val="00D22829"/>
    <w:rsid w:val="00D25F5D"/>
    <w:rsid w:val="00D265B9"/>
    <w:rsid w:val="00D271CE"/>
    <w:rsid w:val="00D307D0"/>
    <w:rsid w:val="00D30D78"/>
    <w:rsid w:val="00D30E09"/>
    <w:rsid w:val="00D31055"/>
    <w:rsid w:val="00D31680"/>
    <w:rsid w:val="00D32541"/>
    <w:rsid w:val="00D3285A"/>
    <w:rsid w:val="00D32883"/>
    <w:rsid w:val="00D369E5"/>
    <w:rsid w:val="00D36B26"/>
    <w:rsid w:val="00D371DE"/>
    <w:rsid w:val="00D37873"/>
    <w:rsid w:val="00D4089C"/>
    <w:rsid w:val="00D416E8"/>
    <w:rsid w:val="00D446D6"/>
    <w:rsid w:val="00D45437"/>
    <w:rsid w:val="00D45B3F"/>
    <w:rsid w:val="00D474D7"/>
    <w:rsid w:val="00D527A4"/>
    <w:rsid w:val="00D5298F"/>
    <w:rsid w:val="00D540DA"/>
    <w:rsid w:val="00D54185"/>
    <w:rsid w:val="00D54801"/>
    <w:rsid w:val="00D55222"/>
    <w:rsid w:val="00D55364"/>
    <w:rsid w:val="00D60187"/>
    <w:rsid w:val="00D60965"/>
    <w:rsid w:val="00D6148D"/>
    <w:rsid w:val="00D63095"/>
    <w:rsid w:val="00D64EF4"/>
    <w:rsid w:val="00D71144"/>
    <w:rsid w:val="00D72876"/>
    <w:rsid w:val="00D7698D"/>
    <w:rsid w:val="00D7756F"/>
    <w:rsid w:val="00D779CC"/>
    <w:rsid w:val="00D77BF3"/>
    <w:rsid w:val="00D77F3B"/>
    <w:rsid w:val="00D80FBA"/>
    <w:rsid w:val="00D83D04"/>
    <w:rsid w:val="00D84B74"/>
    <w:rsid w:val="00D879BB"/>
    <w:rsid w:val="00D918F0"/>
    <w:rsid w:val="00D91D73"/>
    <w:rsid w:val="00D91EC9"/>
    <w:rsid w:val="00D92833"/>
    <w:rsid w:val="00D9385E"/>
    <w:rsid w:val="00D943B6"/>
    <w:rsid w:val="00D952D1"/>
    <w:rsid w:val="00D9572E"/>
    <w:rsid w:val="00D96089"/>
    <w:rsid w:val="00D96405"/>
    <w:rsid w:val="00DA1E42"/>
    <w:rsid w:val="00DA2CDE"/>
    <w:rsid w:val="00DA6D5A"/>
    <w:rsid w:val="00DA7ED2"/>
    <w:rsid w:val="00DB0F1F"/>
    <w:rsid w:val="00DB1F1F"/>
    <w:rsid w:val="00DB257E"/>
    <w:rsid w:val="00DB2DCC"/>
    <w:rsid w:val="00DB3745"/>
    <w:rsid w:val="00DB3AF6"/>
    <w:rsid w:val="00DB61A0"/>
    <w:rsid w:val="00DB761F"/>
    <w:rsid w:val="00DC0F70"/>
    <w:rsid w:val="00DD0972"/>
    <w:rsid w:val="00DD1C58"/>
    <w:rsid w:val="00DD29A2"/>
    <w:rsid w:val="00DD4550"/>
    <w:rsid w:val="00DD58EF"/>
    <w:rsid w:val="00DD7F09"/>
    <w:rsid w:val="00DE09EE"/>
    <w:rsid w:val="00DE45B8"/>
    <w:rsid w:val="00DE4A37"/>
    <w:rsid w:val="00DE7656"/>
    <w:rsid w:val="00DF0B03"/>
    <w:rsid w:val="00DF176C"/>
    <w:rsid w:val="00DF27D6"/>
    <w:rsid w:val="00DF3399"/>
    <w:rsid w:val="00DF39FE"/>
    <w:rsid w:val="00DF462B"/>
    <w:rsid w:val="00DF5957"/>
    <w:rsid w:val="00DF5D24"/>
    <w:rsid w:val="00DF789D"/>
    <w:rsid w:val="00E001B5"/>
    <w:rsid w:val="00E00DEE"/>
    <w:rsid w:val="00E02121"/>
    <w:rsid w:val="00E0242C"/>
    <w:rsid w:val="00E02ACA"/>
    <w:rsid w:val="00E02CF0"/>
    <w:rsid w:val="00E05C0F"/>
    <w:rsid w:val="00E11896"/>
    <w:rsid w:val="00E150C4"/>
    <w:rsid w:val="00E20906"/>
    <w:rsid w:val="00E21525"/>
    <w:rsid w:val="00E239C2"/>
    <w:rsid w:val="00E24C2B"/>
    <w:rsid w:val="00E2526F"/>
    <w:rsid w:val="00E25584"/>
    <w:rsid w:val="00E266B7"/>
    <w:rsid w:val="00E333A0"/>
    <w:rsid w:val="00E34081"/>
    <w:rsid w:val="00E343E8"/>
    <w:rsid w:val="00E34ACA"/>
    <w:rsid w:val="00E367EE"/>
    <w:rsid w:val="00E37840"/>
    <w:rsid w:val="00E40CB0"/>
    <w:rsid w:val="00E4159A"/>
    <w:rsid w:val="00E42956"/>
    <w:rsid w:val="00E442D9"/>
    <w:rsid w:val="00E45145"/>
    <w:rsid w:val="00E4777B"/>
    <w:rsid w:val="00E47863"/>
    <w:rsid w:val="00E478DA"/>
    <w:rsid w:val="00E50805"/>
    <w:rsid w:val="00E60AAE"/>
    <w:rsid w:val="00E60AE6"/>
    <w:rsid w:val="00E66AB3"/>
    <w:rsid w:val="00E66F9D"/>
    <w:rsid w:val="00E67AA3"/>
    <w:rsid w:val="00E7011B"/>
    <w:rsid w:val="00E72EB6"/>
    <w:rsid w:val="00E740E3"/>
    <w:rsid w:val="00E767F0"/>
    <w:rsid w:val="00E77AB7"/>
    <w:rsid w:val="00E77B5F"/>
    <w:rsid w:val="00E80419"/>
    <w:rsid w:val="00E82559"/>
    <w:rsid w:val="00E84436"/>
    <w:rsid w:val="00E850A8"/>
    <w:rsid w:val="00E85D68"/>
    <w:rsid w:val="00E91FBF"/>
    <w:rsid w:val="00E9270B"/>
    <w:rsid w:val="00E94106"/>
    <w:rsid w:val="00E9476C"/>
    <w:rsid w:val="00E976DE"/>
    <w:rsid w:val="00E97D4B"/>
    <w:rsid w:val="00EA18BC"/>
    <w:rsid w:val="00EA1B77"/>
    <w:rsid w:val="00EA71B2"/>
    <w:rsid w:val="00EA7F17"/>
    <w:rsid w:val="00EB0758"/>
    <w:rsid w:val="00EB24C1"/>
    <w:rsid w:val="00EB25FF"/>
    <w:rsid w:val="00EB2815"/>
    <w:rsid w:val="00EB33A4"/>
    <w:rsid w:val="00EB3FE0"/>
    <w:rsid w:val="00EB4427"/>
    <w:rsid w:val="00EB5EF3"/>
    <w:rsid w:val="00EB697B"/>
    <w:rsid w:val="00EC06AE"/>
    <w:rsid w:val="00EC171A"/>
    <w:rsid w:val="00EC265A"/>
    <w:rsid w:val="00ED129A"/>
    <w:rsid w:val="00ED1D9A"/>
    <w:rsid w:val="00ED20B3"/>
    <w:rsid w:val="00ED5794"/>
    <w:rsid w:val="00EE040C"/>
    <w:rsid w:val="00EE0EA9"/>
    <w:rsid w:val="00EE29F0"/>
    <w:rsid w:val="00EE39A1"/>
    <w:rsid w:val="00EE3C58"/>
    <w:rsid w:val="00EE6207"/>
    <w:rsid w:val="00EF055A"/>
    <w:rsid w:val="00EF0576"/>
    <w:rsid w:val="00EF1501"/>
    <w:rsid w:val="00EF1A01"/>
    <w:rsid w:val="00EF50EE"/>
    <w:rsid w:val="00EF5A15"/>
    <w:rsid w:val="00F01179"/>
    <w:rsid w:val="00F025B4"/>
    <w:rsid w:val="00F0373E"/>
    <w:rsid w:val="00F04189"/>
    <w:rsid w:val="00F04496"/>
    <w:rsid w:val="00F0476E"/>
    <w:rsid w:val="00F04A37"/>
    <w:rsid w:val="00F04F5B"/>
    <w:rsid w:val="00F063C4"/>
    <w:rsid w:val="00F06D82"/>
    <w:rsid w:val="00F06DB2"/>
    <w:rsid w:val="00F0745C"/>
    <w:rsid w:val="00F07B09"/>
    <w:rsid w:val="00F07C2D"/>
    <w:rsid w:val="00F07EA6"/>
    <w:rsid w:val="00F1134B"/>
    <w:rsid w:val="00F11753"/>
    <w:rsid w:val="00F11FBF"/>
    <w:rsid w:val="00F12D3C"/>
    <w:rsid w:val="00F12F39"/>
    <w:rsid w:val="00F14262"/>
    <w:rsid w:val="00F154F1"/>
    <w:rsid w:val="00F16862"/>
    <w:rsid w:val="00F20C03"/>
    <w:rsid w:val="00F20EE7"/>
    <w:rsid w:val="00F21871"/>
    <w:rsid w:val="00F220E5"/>
    <w:rsid w:val="00F31972"/>
    <w:rsid w:val="00F31C3B"/>
    <w:rsid w:val="00F32127"/>
    <w:rsid w:val="00F34790"/>
    <w:rsid w:val="00F411B3"/>
    <w:rsid w:val="00F41A38"/>
    <w:rsid w:val="00F44E75"/>
    <w:rsid w:val="00F453BD"/>
    <w:rsid w:val="00F46594"/>
    <w:rsid w:val="00F505DF"/>
    <w:rsid w:val="00F50831"/>
    <w:rsid w:val="00F50AAC"/>
    <w:rsid w:val="00F51FD9"/>
    <w:rsid w:val="00F524DE"/>
    <w:rsid w:val="00F53D81"/>
    <w:rsid w:val="00F543CB"/>
    <w:rsid w:val="00F613A8"/>
    <w:rsid w:val="00F6167D"/>
    <w:rsid w:val="00F627C2"/>
    <w:rsid w:val="00F62C6F"/>
    <w:rsid w:val="00F65AF9"/>
    <w:rsid w:val="00F677A6"/>
    <w:rsid w:val="00F70858"/>
    <w:rsid w:val="00F71215"/>
    <w:rsid w:val="00F71303"/>
    <w:rsid w:val="00F7137A"/>
    <w:rsid w:val="00F71C06"/>
    <w:rsid w:val="00F72563"/>
    <w:rsid w:val="00F73A93"/>
    <w:rsid w:val="00F7462F"/>
    <w:rsid w:val="00F749AF"/>
    <w:rsid w:val="00F755FD"/>
    <w:rsid w:val="00F77C91"/>
    <w:rsid w:val="00F80E11"/>
    <w:rsid w:val="00F816EE"/>
    <w:rsid w:val="00F82BD0"/>
    <w:rsid w:val="00F9078F"/>
    <w:rsid w:val="00F90914"/>
    <w:rsid w:val="00F93969"/>
    <w:rsid w:val="00F96462"/>
    <w:rsid w:val="00F97429"/>
    <w:rsid w:val="00FA17FE"/>
    <w:rsid w:val="00FA5471"/>
    <w:rsid w:val="00FA73E4"/>
    <w:rsid w:val="00FB154A"/>
    <w:rsid w:val="00FB2CC4"/>
    <w:rsid w:val="00FB3A32"/>
    <w:rsid w:val="00FB4869"/>
    <w:rsid w:val="00FB51BC"/>
    <w:rsid w:val="00FB5270"/>
    <w:rsid w:val="00FC5E86"/>
    <w:rsid w:val="00FC5EDD"/>
    <w:rsid w:val="00FC73F5"/>
    <w:rsid w:val="00FC7B25"/>
    <w:rsid w:val="00FD04AC"/>
    <w:rsid w:val="00FD18AC"/>
    <w:rsid w:val="00FD31D2"/>
    <w:rsid w:val="00FD409A"/>
    <w:rsid w:val="00FD4569"/>
    <w:rsid w:val="00FD5322"/>
    <w:rsid w:val="00FE0BA2"/>
    <w:rsid w:val="00FE0F3F"/>
    <w:rsid w:val="00FE113C"/>
    <w:rsid w:val="00FE24DA"/>
    <w:rsid w:val="00FE2E7F"/>
    <w:rsid w:val="00FE644F"/>
    <w:rsid w:val="00FE7B81"/>
    <w:rsid w:val="00FF0C57"/>
    <w:rsid w:val="00FF0E89"/>
    <w:rsid w:val="00FF205B"/>
    <w:rsid w:val="00FF2810"/>
    <w:rsid w:val="00FF3E62"/>
    <w:rsid w:val="00FF47D8"/>
    <w:rsid w:val="00FF60F3"/>
    <w:rsid w:val="00FF6B0D"/>
    <w:rsid w:val="01050F22"/>
    <w:rsid w:val="011B0745"/>
    <w:rsid w:val="01A25B95"/>
    <w:rsid w:val="01A85D51"/>
    <w:rsid w:val="01ED6251"/>
    <w:rsid w:val="02105A86"/>
    <w:rsid w:val="024860E6"/>
    <w:rsid w:val="025F4662"/>
    <w:rsid w:val="032D650E"/>
    <w:rsid w:val="033C4B64"/>
    <w:rsid w:val="034421F5"/>
    <w:rsid w:val="03EF0E26"/>
    <w:rsid w:val="04054915"/>
    <w:rsid w:val="040C25C7"/>
    <w:rsid w:val="044C632C"/>
    <w:rsid w:val="045B0683"/>
    <w:rsid w:val="05777AEA"/>
    <w:rsid w:val="05821B67"/>
    <w:rsid w:val="067B3A34"/>
    <w:rsid w:val="06E013B8"/>
    <w:rsid w:val="076F301C"/>
    <w:rsid w:val="07CA6A21"/>
    <w:rsid w:val="07CD52EE"/>
    <w:rsid w:val="08696B7B"/>
    <w:rsid w:val="08CE609D"/>
    <w:rsid w:val="094B207A"/>
    <w:rsid w:val="097E6AEC"/>
    <w:rsid w:val="09B90AFC"/>
    <w:rsid w:val="0A1B7A08"/>
    <w:rsid w:val="0A8A693C"/>
    <w:rsid w:val="0ADE6149"/>
    <w:rsid w:val="0AFD2C6A"/>
    <w:rsid w:val="0B372620"/>
    <w:rsid w:val="0B9A670B"/>
    <w:rsid w:val="0BF0677B"/>
    <w:rsid w:val="0C1B311F"/>
    <w:rsid w:val="0C517711"/>
    <w:rsid w:val="0C5D1BF7"/>
    <w:rsid w:val="0C774C9E"/>
    <w:rsid w:val="0CA2194F"/>
    <w:rsid w:val="0D384175"/>
    <w:rsid w:val="0DA44F26"/>
    <w:rsid w:val="0DF17945"/>
    <w:rsid w:val="0E004BF2"/>
    <w:rsid w:val="0E9A7524"/>
    <w:rsid w:val="0F964331"/>
    <w:rsid w:val="0FF92A34"/>
    <w:rsid w:val="100F5FB8"/>
    <w:rsid w:val="1053456A"/>
    <w:rsid w:val="10967DE9"/>
    <w:rsid w:val="10BE719B"/>
    <w:rsid w:val="10FA5AF9"/>
    <w:rsid w:val="125B23B7"/>
    <w:rsid w:val="126574D2"/>
    <w:rsid w:val="12813FDF"/>
    <w:rsid w:val="12816876"/>
    <w:rsid w:val="12A67412"/>
    <w:rsid w:val="12E34E3B"/>
    <w:rsid w:val="13122AB3"/>
    <w:rsid w:val="1347361C"/>
    <w:rsid w:val="13561AB1"/>
    <w:rsid w:val="1387018B"/>
    <w:rsid w:val="139B5716"/>
    <w:rsid w:val="13BD743A"/>
    <w:rsid w:val="13C81345"/>
    <w:rsid w:val="14104B46"/>
    <w:rsid w:val="148D69E9"/>
    <w:rsid w:val="149C7998"/>
    <w:rsid w:val="14E646E9"/>
    <w:rsid w:val="14F72A26"/>
    <w:rsid w:val="159A569D"/>
    <w:rsid w:val="15B176BE"/>
    <w:rsid w:val="15D13671"/>
    <w:rsid w:val="16A50DC5"/>
    <w:rsid w:val="176D35E8"/>
    <w:rsid w:val="180C70C3"/>
    <w:rsid w:val="182A0E16"/>
    <w:rsid w:val="18700F1F"/>
    <w:rsid w:val="189161F9"/>
    <w:rsid w:val="18F30D7E"/>
    <w:rsid w:val="19942357"/>
    <w:rsid w:val="19C73790"/>
    <w:rsid w:val="19CC03D7"/>
    <w:rsid w:val="1B6F5FBB"/>
    <w:rsid w:val="1B8D2F7E"/>
    <w:rsid w:val="1BA6254A"/>
    <w:rsid w:val="1BC56420"/>
    <w:rsid w:val="1BC94CC4"/>
    <w:rsid w:val="1C116575"/>
    <w:rsid w:val="1C2A3ADB"/>
    <w:rsid w:val="1C6313F5"/>
    <w:rsid w:val="1D9B4C90"/>
    <w:rsid w:val="1DBE44DB"/>
    <w:rsid w:val="1DCB3CC7"/>
    <w:rsid w:val="1E8C6387"/>
    <w:rsid w:val="1E924230"/>
    <w:rsid w:val="1E9A1A93"/>
    <w:rsid w:val="1FAD5E54"/>
    <w:rsid w:val="2010128F"/>
    <w:rsid w:val="2051756F"/>
    <w:rsid w:val="20621A95"/>
    <w:rsid w:val="20A402C4"/>
    <w:rsid w:val="212F1846"/>
    <w:rsid w:val="215206DC"/>
    <w:rsid w:val="225F06E1"/>
    <w:rsid w:val="22DC0F9F"/>
    <w:rsid w:val="232A6C2B"/>
    <w:rsid w:val="23700938"/>
    <w:rsid w:val="24174680"/>
    <w:rsid w:val="24320C97"/>
    <w:rsid w:val="252A06A8"/>
    <w:rsid w:val="25BD1D8A"/>
    <w:rsid w:val="25E03872"/>
    <w:rsid w:val="271B39A8"/>
    <w:rsid w:val="273C5904"/>
    <w:rsid w:val="27CE007F"/>
    <w:rsid w:val="27DF39CB"/>
    <w:rsid w:val="27F840FB"/>
    <w:rsid w:val="28976054"/>
    <w:rsid w:val="28BE26E5"/>
    <w:rsid w:val="28E03E9F"/>
    <w:rsid w:val="290750D9"/>
    <w:rsid w:val="29395A7C"/>
    <w:rsid w:val="2995726B"/>
    <w:rsid w:val="299802D6"/>
    <w:rsid w:val="29B74766"/>
    <w:rsid w:val="2A0256F4"/>
    <w:rsid w:val="2B365FF8"/>
    <w:rsid w:val="2B3C1135"/>
    <w:rsid w:val="2BB23A12"/>
    <w:rsid w:val="2BE55328"/>
    <w:rsid w:val="2BF567CD"/>
    <w:rsid w:val="2C8540B3"/>
    <w:rsid w:val="2C9C632F"/>
    <w:rsid w:val="2CD37E34"/>
    <w:rsid w:val="2D4C7F88"/>
    <w:rsid w:val="2DF21392"/>
    <w:rsid w:val="2E2239E1"/>
    <w:rsid w:val="2E383E35"/>
    <w:rsid w:val="2E734FFE"/>
    <w:rsid w:val="2F0F103A"/>
    <w:rsid w:val="2F194722"/>
    <w:rsid w:val="2F3A4D33"/>
    <w:rsid w:val="2F77478E"/>
    <w:rsid w:val="2F842C09"/>
    <w:rsid w:val="2FB13B8E"/>
    <w:rsid w:val="2FDE6C5E"/>
    <w:rsid w:val="2FF92400"/>
    <w:rsid w:val="30083D4E"/>
    <w:rsid w:val="31532D34"/>
    <w:rsid w:val="31584492"/>
    <w:rsid w:val="31630F43"/>
    <w:rsid w:val="318260D3"/>
    <w:rsid w:val="318D068C"/>
    <w:rsid w:val="320504D2"/>
    <w:rsid w:val="32DC7485"/>
    <w:rsid w:val="32E56037"/>
    <w:rsid w:val="33266952"/>
    <w:rsid w:val="33370B5F"/>
    <w:rsid w:val="339A2E9C"/>
    <w:rsid w:val="33BD7F2A"/>
    <w:rsid w:val="344C3F70"/>
    <w:rsid w:val="3498111E"/>
    <w:rsid w:val="34F202A0"/>
    <w:rsid w:val="350979F0"/>
    <w:rsid w:val="35E665DC"/>
    <w:rsid w:val="35EA6D21"/>
    <w:rsid w:val="36044574"/>
    <w:rsid w:val="360459C6"/>
    <w:rsid w:val="363B2715"/>
    <w:rsid w:val="37647A49"/>
    <w:rsid w:val="37CB50DB"/>
    <w:rsid w:val="37E20B56"/>
    <w:rsid w:val="38231EC2"/>
    <w:rsid w:val="38287C33"/>
    <w:rsid w:val="38685317"/>
    <w:rsid w:val="38C509BB"/>
    <w:rsid w:val="38F12165"/>
    <w:rsid w:val="395B3827"/>
    <w:rsid w:val="39683E29"/>
    <w:rsid w:val="398F6842"/>
    <w:rsid w:val="39A5530B"/>
    <w:rsid w:val="39F41558"/>
    <w:rsid w:val="3A1960BD"/>
    <w:rsid w:val="3A722701"/>
    <w:rsid w:val="3A8579E1"/>
    <w:rsid w:val="3AA55A31"/>
    <w:rsid w:val="3AC802EF"/>
    <w:rsid w:val="3B2522BB"/>
    <w:rsid w:val="3B4756B8"/>
    <w:rsid w:val="3BB40004"/>
    <w:rsid w:val="3BF84797"/>
    <w:rsid w:val="3C04240A"/>
    <w:rsid w:val="3C511023"/>
    <w:rsid w:val="3C5E31E7"/>
    <w:rsid w:val="3C885EED"/>
    <w:rsid w:val="3CC82808"/>
    <w:rsid w:val="3D073C7C"/>
    <w:rsid w:val="3D197528"/>
    <w:rsid w:val="3D5D4A1E"/>
    <w:rsid w:val="3DBA7065"/>
    <w:rsid w:val="3E1321C9"/>
    <w:rsid w:val="3E682515"/>
    <w:rsid w:val="3EF1194C"/>
    <w:rsid w:val="3F244B34"/>
    <w:rsid w:val="3F3D1FA5"/>
    <w:rsid w:val="3F687520"/>
    <w:rsid w:val="3F6F2A2B"/>
    <w:rsid w:val="3FB50F27"/>
    <w:rsid w:val="4021297B"/>
    <w:rsid w:val="4043131E"/>
    <w:rsid w:val="404E340E"/>
    <w:rsid w:val="40660E41"/>
    <w:rsid w:val="4070745F"/>
    <w:rsid w:val="408B24EB"/>
    <w:rsid w:val="410C1C88"/>
    <w:rsid w:val="41285F8B"/>
    <w:rsid w:val="417B430D"/>
    <w:rsid w:val="41DA7286"/>
    <w:rsid w:val="422B5D33"/>
    <w:rsid w:val="42351AEE"/>
    <w:rsid w:val="42472441"/>
    <w:rsid w:val="428340A3"/>
    <w:rsid w:val="42CE4911"/>
    <w:rsid w:val="43BA0A83"/>
    <w:rsid w:val="43F3514A"/>
    <w:rsid w:val="43FC1637"/>
    <w:rsid w:val="440D786E"/>
    <w:rsid w:val="444A2280"/>
    <w:rsid w:val="44846517"/>
    <w:rsid w:val="44FC5315"/>
    <w:rsid w:val="45657F3C"/>
    <w:rsid w:val="45B63F06"/>
    <w:rsid w:val="46D23B3D"/>
    <w:rsid w:val="47427B38"/>
    <w:rsid w:val="48364715"/>
    <w:rsid w:val="4A022DB8"/>
    <w:rsid w:val="4A3C23FD"/>
    <w:rsid w:val="4B703859"/>
    <w:rsid w:val="4B940B17"/>
    <w:rsid w:val="4BC468B1"/>
    <w:rsid w:val="4C441620"/>
    <w:rsid w:val="4C6B6621"/>
    <w:rsid w:val="4C850165"/>
    <w:rsid w:val="4C8D3147"/>
    <w:rsid w:val="4CDB2104"/>
    <w:rsid w:val="4DC1754C"/>
    <w:rsid w:val="4E0C129C"/>
    <w:rsid w:val="4E4A21B6"/>
    <w:rsid w:val="4E8567CB"/>
    <w:rsid w:val="4EBE6177"/>
    <w:rsid w:val="4EE07EA5"/>
    <w:rsid w:val="4F1328D2"/>
    <w:rsid w:val="4F7D3946"/>
    <w:rsid w:val="4FB20B26"/>
    <w:rsid w:val="50254C7A"/>
    <w:rsid w:val="51475FBA"/>
    <w:rsid w:val="517C17F0"/>
    <w:rsid w:val="51886DB5"/>
    <w:rsid w:val="53512A4E"/>
    <w:rsid w:val="53540D14"/>
    <w:rsid w:val="53CC1D0D"/>
    <w:rsid w:val="53D17DBD"/>
    <w:rsid w:val="53E14262"/>
    <w:rsid w:val="53EB70D0"/>
    <w:rsid w:val="5416249B"/>
    <w:rsid w:val="54CA7C66"/>
    <w:rsid w:val="54E04059"/>
    <w:rsid w:val="55002790"/>
    <w:rsid w:val="55083CB2"/>
    <w:rsid w:val="55101271"/>
    <w:rsid w:val="5573643B"/>
    <w:rsid w:val="558E2409"/>
    <w:rsid w:val="55BB1160"/>
    <w:rsid w:val="561F3061"/>
    <w:rsid w:val="56792FF9"/>
    <w:rsid w:val="567A298E"/>
    <w:rsid w:val="56890B29"/>
    <w:rsid w:val="57BE68AA"/>
    <w:rsid w:val="57C33EC0"/>
    <w:rsid w:val="57CA41EB"/>
    <w:rsid w:val="58290306"/>
    <w:rsid w:val="58770843"/>
    <w:rsid w:val="587D6765"/>
    <w:rsid w:val="58D81A21"/>
    <w:rsid w:val="59531225"/>
    <w:rsid w:val="596013A4"/>
    <w:rsid w:val="59701109"/>
    <w:rsid w:val="59994FDF"/>
    <w:rsid w:val="5A53000A"/>
    <w:rsid w:val="5AB04BD0"/>
    <w:rsid w:val="5ACE32A8"/>
    <w:rsid w:val="5B7E7017"/>
    <w:rsid w:val="5BA621B6"/>
    <w:rsid w:val="5BB115D3"/>
    <w:rsid w:val="5BE7422C"/>
    <w:rsid w:val="5C2C68EB"/>
    <w:rsid w:val="5C2F55D8"/>
    <w:rsid w:val="5C3B496D"/>
    <w:rsid w:val="5C43093B"/>
    <w:rsid w:val="5C451D35"/>
    <w:rsid w:val="5C50268D"/>
    <w:rsid w:val="5CA70254"/>
    <w:rsid w:val="5D1F428F"/>
    <w:rsid w:val="5D3966F0"/>
    <w:rsid w:val="5D3D64C3"/>
    <w:rsid w:val="5DCB00C0"/>
    <w:rsid w:val="5E1A4AB5"/>
    <w:rsid w:val="5E693A13"/>
    <w:rsid w:val="5F546472"/>
    <w:rsid w:val="5FAF1A0F"/>
    <w:rsid w:val="60294EA8"/>
    <w:rsid w:val="60833FFD"/>
    <w:rsid w:val="61972279"/>
    <w:rsid w:val="61D76EE6"/>
    <w:rsid w:val="620C5AF3"/>
    <w:rsid w:val="621C2B4B"/>
    <w:rsid w:val="62824A5A"/>
    <w:rsid w:val="62B209ED"/>
    <w:rsid w:val="62DA4EE0"/>
    <w:rsid w:val="62F90568"/>
    <w:rsid w:val="633839B4"/>
    <w:rsid w:val="634204FA"/>
    <w:rsid w:val="636E73D6"/>
    <w:rsid w:val="63883CD5"/>
    <w:rsid w:val="63B3092B"/>
    <w:rsid w:val="63C073D0"/>
    <w:rsid w:val="63ED050F"/>
    <w:rsid w:val="64432B02"/>
    <w:rsid w:val="6471285F"/>
    <w:rsid w:val="6477050C"/>
    <w:rsid w:val="64A94F08"/>
    <w:rsid w:val="64BD0BF3"/>
    <w:rsid w:val="65AB3BB5"/>
    <w:rsid w:val="65CD7C3D"/>
    <w:rsid w:val="65F53DDF"/>
    <w:rsid w:val="667D1EC5"/>
    <w:rsid w:val="668E08CF"/>
    <w:rsid w:val="66976AB1"/>
    <w:rsid w:val="66C832A1"/>
    <w:rsid w:val="66CC2D91"/>
    <w:rsid w:val="66D63C10"/>
    <w:rsid w:val="676034DA"/>
    <w:rsid w:val="67893858"/>
    <w:rsid w:val="679507CD"/>
    <w:rsid w:val="67F72090"/>
    <w:rsid w:val="688A67D3"/>
    <w:rsid w:val="68CA6D0F"/>
    <w:rsid w:val="69187492"/>
    <w:rsid w:val="697D43CD"/>
    <w:rsid w:val="69EB5950"/>
    <w:rsid w:val="6A03607F"/>
    <w:rsid w:val="6A2D3DA1"/>
    <w:rsid w:val="6A902328"/>
    <w:rsid w:val="6B620D3B"/>
    <w:rsid w:val="6BBB3BA0"/>
    <w:rsid w:val="6BE96194"/>
    <w:rsid w:val="6C0E0C1D"/>
    <w:rsid w:val="6C4C157D"/>
    <w:rsid w:val="6C507FC1"/>
    <w:rsid w:val="6C607ABB"/>
    <w:rsid w:val="6C7F33EE"/>
    <w:rsid w:val="6CB73B9C"/>
    <w:rsid w:val="6D282870"/>
    <w:rsid w:val="6DC56E14"/>
    <w:rsid w:val="6EA21D1A"/>
    <w:rsid w:val="6EB31130"/>
    <w:rsid w:val="6EED6EEA"/>
    <w:rsid w:val="6EFA1CA3"/>
    <w:rsid w:val="6F060E0B"/>
    <w:rsid w:val="6F285225"/>
    <w:rsid w:val="703F1F38"/>
    <w:rsid w:val="70893B91"/>
    <w:rsid w:val="70B56644"/>
    <w:rsid w:val="71A07716"/>
    <w:rsid w:val="71B47F63"/>
    <w:rsid w:val="7273680D"/>
    <w:rsid w:val="736B1B84"/>
    <w:rsid w:val="73AE205B"/>
    <w:rsid w:val="74145D78"/>
    <w:rsid w:val="7416564C"/>
    <w:rsid w:val="745C4EB3"/>
    <w:rsid w:val="74925A7A"/>
    <w:rsid w:val="749B28AB"/>
    <w:rsid w:val="749F7D37"/>
    <w:rsid w:val="74DA26D3"/>
    <w:rsid w:val="750C7254"/>
    <w:rsid w:val="75512F7D"/>
    <w:rsid w:val="755A1EB0"/>
    <w:rsid w:val="758F6FBE"/>
    <w:rsid w:val="7592164A"/>
    <w:rsid w:val="75D6450A"/>
    <w:rsid w:val="761152BC"/>
    <w:rsid w:val="76701873"/>
    <w:rsid w:val="768A7C75"/>
    <w:rsid w:val="76CF5F86"/>
    <w:rsid w:val="76E244F4"/>
    <w:rsid w:val="772A1190"/>
    <w:rsid w:val="77433483"/>
    <w:rsid w:val="78171F39"/>
    <w:rsid w:val="78D24C02"/>
    <w:rsid w:val="7A347300"/>
    <w:rsid w:val="7AC2662E"/>
    <w:rsid w:val="7B2C085E"/>
    <w:rsid w:val="7B3B62E0"/>
    <w:rsid w:val="7B890CCF"/>
    <w:rsid w:val="7BDE559F"/>
    <w:rsid w:val="7BFC40E0"/>
    <w:rsid w:val="7CD73DE6"/>
    <w:rsid w:val="7D0205C9"/>
    <w:rsid w:val="7DD10836"/>
    <w:rsid w:val="7DF81264"/>
    <w:rsid w:val="7E5D5679"/>
    <w:rsid w:val="7EA4406A"/>
    <w:rsid w:val="7F1231D8"/>
    <w:rsid w:val="7F207CC7"/>
    <w:rsid w:val="7F2D5F40"/>
    <w:rsid w:val="7F34417A"/>
    <w:rsid w:val="7F9A1827"/>
    <w:rsid w:val="7FD300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0" w:semiHidden="0" w:name="heading 3"/>
    <w:lsdException w:qFormat="1" w:uiPriority="9" w:semiHidden="0" w:name="heading 4"/>
    <w:lsdException w:qFormat="1" w:unhideWhenUsed="0" w:uiPriority="1"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qFormat="1" w:unhideWhenUsed="0" w:uiPriority="39" w:semiHidden="0" w:name="toc 8"/>
    <w:lsdException w:uiPriority="39" w:name="toc 9"/>
    <w:lsdException w:qFormat="1" w:uiPriority="99"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qFormat="1" w:unhideWhenUsed="0"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qFormat="1" w:uiPriority="99" w:semiHidden="0"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uiPriority="99" w:name="Body Text Indent 3"/>
    <w:lsdException w:qFormat="1" w:unhideWhenUsed="0" w:uiPriority="0" w:semiHidden="0"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iPriority="99"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等线" w:hAnsi="等线" w:eastAsia="等线" w:cs="Times New Roman"/>
      <w:kern w:val="2"/>
      <w:sz w:val="21"/>
      <w:szCs w:val="22"/>
      <w:lang w:val="en-US" w:eastAsia="zh-CN" w:bidi="ar-SA"/>
    </w:rPr>
  </w:style>
  <w:style w:type="paragraph" w:styleId="4">
    <w:name w:val="heading 1"/>
    <w:basedOn w:val="1"/>
    <w:next w:val="1"/>
    <w:link w:val="46"/>
    <w:autoRedefine/>
    <w:qFormat/>
    <w:uiPriority w:val="9"/>
    <w:pPr>
      <w:keepNext/>
      <w:keepLines/>
      <w:spacing w:before="180" w:after="180" w:line="440" w:lineRule="exact"/>
      <w:outlineLvl w:val="0"/>
    </w:pPr>
    <w:rPr>
      <w:rFonts w:ascii="Times New Roman" w:hAnsi="Times New Roman" w:eastAsia="宋体"/>
      <w:b/>
      <w:bCs/>
      <w:kern w:val="44"/>
      <w:sz w:val="30"/>
      <w:szCs w:val="44"/>
    </w:rPr>
  </w:style>
  <w:style w:type="paragraph" w:styleId="5">
    <w:name w:val="heading 2"/>
    <w:basedOn w:val="1"/>
    <w:next w:val="1"/>
    <w:link w:val="45"/>
    <w:autoRedefine/>
    <w:unhideWhenUsed/>
    <w:qFormat/>
    <w:uiPriority w:val="9"/>
    <w:pPr>
      <w:keepNext/>
      <w:keepLines/>
      <w:spacing w:before="120" w:after="120" w:line="440" w:lineRule="exact"/>
      <w:outlineLvl w:val="1"/>
    </w:pPr>
    <w:rPr>
      <w:rFonts w:ascii="Times New Roman" w:hAnsi="Times New Roman" w:eastAsiaTheme="majorEastAsia" w:cstheme="majorBidi"/>
      <w:b/>
      <w:bCs/>
      <w:sz w:val="28"/>
      <w:szCs w:val="32"/>
    </w:rPr>
  </w:style>
  <w:style w:type="paragraph" w:styleId="6">
    <w:name w:val="heading 3"/>
    <w:basedOn w:val="1"/>
    <w:next w:val="1"/>
    <w:link w:val="44"/>
    <w:autoRedefine/>
    <w:qFormat/>
    <w:uiPriority w:val="0"/>
    <w:pPr>
      <w:spacing w:before="60" w:after="60" w:line="440" w:lineRule="exact"/>
      <w:jc w:val="left"/>
      <w:outlineLvl w:val="2"/>
    </w:pPr>
    <w:rPr>
      <w:rFonts w:ascii="Times New Roman" w:hAnsi="Times New Roman" w:eastAsiaTheme="minorEastAsia"/>
      <w:b/>
      <w:sz w:val="24"/>
      <w:szCs w:val="24"/>
    </w:rPr>
  </w:style>
  <w:style w:type="paragraph" w:styleId="7">
    <w:name w:val="heading 4"/>
    <w:basedOn w:val="1"/>
    <w:next w:val="1"/>
    <w:link w:val="51"/>
    <w:autoRedefine/>
    <w:unhideWhenUsed/>
    <w:qFormat/>
    <w:uiPriority w:val="9"/>
    <w:pPr>
      <w:keepNext/>
      <w:keepLines/>
      <w:spacing w:before="60" w:after="60" w:line="440" w:lineRule="exact"/>
      <w:outlineLvl w:val="3"/>
    </w:pPr>
    <w:rPr>
      <w:rFonts w:ascii="Times New Roman" w:hAnsi="Times New Roman" w:eastAsiaTheme="majorEastAsia" w:cstheme="majorBidi"/>
      <w:bCs/>
      <w:sz w:val="24"/>
      <w:szCs w:val="28"/>
    </w:rPr>
  </w:style>
  <w:style w:type="paragraph" w:styleId="8">
    <w:name w:val="heading 5"/>
    <w:basedOn w:val="1"/>
    <w:next w:val="1"/>
    <w:qFormat/>
    <w:uiPriority w:val="1"/>
    <w:pPr>
      <w:outlineLvl w:val="4"/>
    </w:pPr>
    <w:rPr>
      <w:rFonts w:ascii="宋体" w:hAnsi="宋体" w:eastAsia="宋体" w:cs="宋体"/>
      <w:b/>
      <w:bCs/>
      <w:sz w:val="24"/>
      <w:szCs w:val="24"/>
      <w:lang w:val="zh-CN" w:bidi="zh-CN"/>
    </w:rPr>
  </w:style>
  <w:style w:type="character" w:default="1" w:styleId="34">
    <w:name w:val="Default Paragraph Font"/>
    <w:autoRedefine/>
    <w:semiHidden/>
    <w:unhideWhenUsed/>
    <w:qFormat/>
    <w:uiPriority w:val="1"/>
  </w:style>
  <w:style w:type="table" w:default="1" w:styleId="32">
    <w:name w:val="Normal Table"/>
    <w:autoRedefine/>
    <w:semiHidden/>
    <w:unhideWhenUsed/>
    <w:qFormat/>
    <w:uiPriority w:val="99"/>
    <w:tblPr>
      <w:tblCellMar>
        <w:top w:w="0" w:type="dxa"/>
        <w:left w:w="108" w:type="dxa"/>
        <w:bottom w:w="0" w:type="dxa"/>
        <w:right w:w="108" w:type="dxa"/>
      </w:tblCellMar>
    </w:tblPr>
  </w:style>
  <w:style w:type="paragraph" w:customStyle="1" w:styleId="2">
    <w:name w:val="Default"/>
    <w:basedOn w:val="3"/>
    <w:autoRedefine/>
    <w:qFormat/>
    <w:uiPriority w:val="0"/>
    <w:pPr>
      <w:widowControl w:val="0"/>
      <w:autoSpaceDE w:val="0"/>
      <w:autoSpaceDN w:val="0"/>
      <w:adjustRightInd w:val="0"/>
    </w:pPr>
    <w:rPr>
      <w:rFonts w:ascii="黑体" w:hAnsi="Times New Roman" w:eastAsia="宋体" w:cs="Times New Roman"/>
      <w:color w:val="000000"/>
      <w:sz w:val="24"/>
      <w:szCs w:val="22"/>
      <w:lang w:val="en-US" w:eastAsia="zh-CN" w:bidi="ar-SA"/>
    </w:rPr>
  </w:style>
  <w:style w:type="paragraph" w:customStyle="1" w:styleId="3">
    <w:name w:val="纯文本1"/>
    <w:basedOn w:val="1"/>
    <w:autoRedefine/>
    <w:qFormat/>
    <w:uiPriority w:val="0"/>
    <w:pPr>
      <w:widowControl/>
      <w:spacing w:beforeLines="10" w:afterLines="10" w:line="360" w:lineRule="auto"/>
      <w:ind w:firstLine="200" w:firstLineChars="200"/>
      <w:jc w:val="left"/>
    </w:pPr>
    <w:rPr>
      <w:rFonts w:hAnsi="宋体" w:cs="宋体"/>
      <w:kern w:val="0"/>
      <w:sz w:val="24"/>
    </w:rPr>
  </w:style>
  <w:style w:type="paragraph" w:styleId="9">
    <w:name w:val="Normal Indent"/>
    <w:basedOn w:val="1"/>
    <w:autoRedefine/>
    <w:unhideWhenUsed/>
    <w:qFormat/>
    <w:uiPriority w:val="99"/>
    <w:pPr>
      <w:ind w:firstLine="420" w:firstLineChars="200"/>
    </w:pPr>
  </w:style>
  <w:style w:type="paragraph" w:styleId="10">
    <w:name w:val="caption"/>
    <w:basedOn w:val="1"/>
    <w:next w:val="1"/>
    <w:unhideWhenUsed/>
    <w:qFormat/>
    <w:uiPriority w:val="0"/>
    <w:pPr>
      <w:spacing w:before="50" w:beforeLines="50"/>
      <w:jc w:val="center"/>
    </w:pPr>
    <w:rPr>
      <w:rFonts w:ascii="Times New Roman" w:hAnsi="Times New Roman" w:eastAsia="仿宋"/>
      <w:sz w:val="24"/>
    </w:rPr>
  </w:style>
  <w:style w:type="paragraph" w:styleId="11">
    <w:name w:val="annotation text"/>
    <w:basedOn w:val="1"/>
    <w:link w:val="61"/>
    <w:autoRedefine/>
    <w:semiHidden/>
    <w:unhideWhenUsed/>
    <w:qFormat/>
    <w:uiPriority w:val="99"/>
    <w:pPr>
      <w:jc w:val="left"/>
    </w:pPr>
  </w:style>
  <w:style w:type="paragraph" w:styleId="12">
    <w:name w:val="Body Text 3"/>
    <w:basedOn w:val="1"/>
    <w:autoRedefine/>
    <w:qFormat/>
    <w:uiPriority w:val="0"/>
    <w:pPr>
      <w:spacing w:after="120"/>
    </w:pPr>
    <w:rPr>
      <w:rFonts w:ascii="Times New Roman" w:hAnsi="Times New Roman" w:eastAsia="宋体"/>
      <w:kern w:val="0"/>
      <w:sz w:val="16"/>
      <w:szCs w:val="16"/>
    </w:rPr>
  </w:style>
  <w:style w:type="paragraph" w:styleId="13">
    <w:name w:val="Body Text"/>
    <w:basedOn w:val="1"/>
    <w:next w:val="1"/>
    <w:link w:val="58"/>
    <w:autoRedefine/>
    <w:qFormat/>
    <w:uiPriority w:val="0"/>
    <w:pPr>
      <w:spacing w:line="320" w:lineRule="exact"/>
      <w:jc w:val="center"/>
    </w:pPr>
    <w:rPr>
      <w:rFonts w:asciiTheme="minorHAnsi" w:hAnsiTheme="minorHAnsi" w:eastAsiaTheme="minorEastAsia" w:cstheme="minorBidi"/>
      <w:sz w:val="52"/>
      <w:szCs w:val="20"/>
    </w:rPr>
  </w:style>
  <w:style w:type="paragraph" w:styleId="14">
    <w:name w:val="Body Text Indent"/>
    <w:basedOn w:val="1"/>
    <w:next w:val="10"/>
    <w:autoRedefine/>
    <w:qFormat/>
    <w:uiPriority w:val="0"/>
    <w:pPr>
      <w:spacing w:before="240" w:line="360" w:lineRule="auto"/>
      <w:ind w:firstLine="482"/>
    </w:pPr>
    <w:rPr>
      <w:rFonts w:ascii="宋体"/>
      <w:kern w:val="0"/>
      <w:sz w:val="24"/>
    </w:rPr>
  </w:style>
  <w:style w:type="paragraph" w:styleId="15">
    <w:name w:val="Block Text"/>
    <w:basedOn w:val="1"/>
    <w:autoRedefine/>
    <w:qFormat/>
    <w:uiPriority w:val="0"/>
    <w:pPr>
      <w:ind w:left="1440" w:leftChars="700" w:right="700" w:rightChars="700"/>
    </w:pPr>
  </w:style>
  <w:style w:type="paragraph" w:styleId="16">
    <w:name w:val="Plain Text"/>
    <w:basedOn w:val="1"/>
    <w:next w:val="17"/>
    <w:autoRedefine/>
    <w:qFormat/>
    <w:uiPriority w:val="0"/>
    <w:pPr>
      <w:widowControl/>
      <w:spacing w:before="100" w:beforeLines="0" w:beforeAutospacing="1" w:after="100" w:afterLines="0" w:afterAutospacing="1"/>
      <w:jc w:val="left"/>
    </w:pPr>
    <w:rPr>
      <w:rFonts w:ascii="ˎ̥" w:hAnsi="ˎ̥"/>
      <w:kern w:val="0"/>
      <w:sz w:val="18"/>
      <w:szCs w:val="18"/>
    </w:rPr>
  </w:style>
  <w:style w:type="paragraph" w:styleId="17">
    <w:name w:val="List Continue 5"/>
    <w:basedOn w:val="1"/>
    <w:unhideWhenUsed/>
    <w:qFormat/>
    <w:uiPriority w:val="99"/>
    <w:pPr>
      <w:spacing w:after="120" w:afterLines="0"/>
      <w:ind w:left="2100" w:leftChars="1000"/>
    </w:pPr>
  </w:style>
  <w:style w:type="paragraph" w:styleId="18">
    <w:name w:val="List Bullet 5"/>
    <w:basedOn w:val="1"/>
    <w:semiHidden/>
    <w:unhideWhenUsed/>
    <w:qFormat/>
    <w:uiPriority w:val="99"/>
    <w:pPr>
      <w:numPr>
        <w:ilvl w:val="0"/>
        <w:numId w:val="1"/>
      </w:numPr>
    </w:pPr>
  </w:style>
  <w:style w:type="paragraph" w:styleId="19">
    <w:name w:val="toc 8"/>
    <w:basedOn w:val="1"/>
    <w:next w:val="1"/>
    <w:autoRedefine/>
    <w:qFormat/>
    <w:uiPriority w:val="39"/>
    <w:pPr>
      <w:ind w:left="1470"/>
      <w:jc w:val="left"/>
    </w:pPr>
    <w:rPr>
      <w:rFonts w:ascii="Times New Roman" w:hAnsi="Times New Roman"/>
      <w:kern w:val="0"/>
      <w:sz w:val="18"/>
      <w:szCs w:val="18"/>
    </w:rPr>
  </w:style>
  <w:style w:type="paragraph" w:styleId="20">
    <w:name w:val="Body Text Indent 2"/>
    <w:basedOn w:val="1"/>
    <w:next w:val="21"/>
    <w:qFormat/>
    <w:uiPriority w:val="0"/>
    <w:pPr>
      <w:adjustRightInd w:val="0"/>
      <w:spacing w:line="480" w:lineRule="exact"/>
      <w:ind w:firstLine="567"/>
      <w:textAlignment w:val="baseline"/>
    </w:pPr>
    <w:rPr>
      <w:rFonts w:ascii="宋体" w:hAnsi="宋体"/>
      <w:kern w:val="0"/>
      <w:sz w:val="28"/>
      <w:szCs w:val="28"/>
      <w:lang w:val="zh-CN"/>
    </w:rPr>
  </w:style>
  <w:style w:type="paragraph" w:styleId="21">
    <w:name w:val="Body Text First Indent 2"/>
    <w:basedOn w:val="14"/>
    <w:next w:val="1"/>
    <w:autoRedefine/>
    <w:unhideWhenUsed/>
    <w:qFormat/>
    <w:uiPriority w:val="99"/>
    <w:pPr>
      <w:ind w:firstLine="420" w:firstLineChars="200"/>
    </w:pPr>
  </w:style>
  <w:style w:type="paragraph" w:styleId="22">
    <w:name w:val="endnote text"/>
    <w:basedOn w:val="1"/>
    <w:autoRedefine/>
    <w:semiHidden/>
    <w:qFormat/>
    <w:uiPriority w:val="99"/>
    <w:pPr>
      <w:snapToGrid w:val="0"/>
      <w:jc w:val="left"/>
    </w:pPr>
    <w:rPr>
      <w:rFonts w:ascii="Calibri" w:hAnsi="Calibri" w:cs="Calibri"/>
      <w:sz w:val="24"/>
      <w:szCs w:val="24"/>
    </w:rPr>
  </w:style>
  <w:style w:type="paragraph" w:styleId="23">
    <w:name w:val="Balloon Text"/>
    <w:basedOn w:val="1"/>
    <w:link w:val="57"/>
    <w:autoRedefine/>
    <w:semiHidden/>
    <w:unhideWhenUsed/>
    <w:qFormat/>
    <w:uiPriority w:val="99"/>
    <w:rPr>
      <w:sz w:val="18"/>
      <w:szCs w:val="18"/>
    </w:rPr>
  </w:style>
  <w:style w:type="paragraph" w:styleId="24">
    <w:name w:val="footer"/>
    <w:basedOn w:val="1"/>
    <w:link w:val="48"/>
    <w:autoRedefine/>
    <w:unhideWhenUsed/>
    <w:qFormat/>
    <w:uiPriority w:val="99"/>
    <w:pPr>
      <w:tabs>
        <w:tab w:val="center" w:pos="4153"/>
        <w:tab w:val="right" w:pos="8306"/>
      </w:tabs>
      <w:snapToGrid w:val="0"/>
      <w:jc w:val="left"/>
    </w:pPr>
    <w:rPr>
      <w:sz w:val="18"/>
      <w:szCs w:val="18"/>
    </w:rPr>
  </w:style>
  <w:style w:type="paragraph" w:styleId="25">
    <w:name w:val="header"/>
    <w:basedOn w:val="1"/>
    <w:next w:val="26"/>
    <w:link w:val="4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26">
    <w:name w:val="样式5"/>
    <w:basedOn w:val="27"/>
    <w:next w:val="22"/>
    <w:autoRedefine/>
    <w:qFormat/>
    <w:uiPriority w:val="99"/>
    <w:pPr>
      <w:spacing w:line="460" w:lineRule="exact"/>
      <w:textAlignment w:val="baseline"/>
    </w:pPr>
    <w:rPr>
      <w:rFonts w:ascii="Arial" w:hAnsi="Arial" w:cs="Arial"/>
    </w:rPr>
  </w:style>
  <w:style w:type="paragraph" w:customStyle="1" w:styleId="27">
    <w:name w:val="正文1"/>
    <w:basedOn w:val="1"/>
    <w:next w:val="1"/>
    <w:autoRedefine/>
    <w:qFormat/>
    <w:uiPriority w:val="99"/>
    <w:pPr>
      <w:adjustRightInd w:val="0"/>
      <w:snapToGrid w:val="0"/>
      <w:spacing w:line="440" w:lineRule="exact"/>
      <w:ind w:firstLine="200" w:firstLineChars="200"/>
    </w:pPr>
    <w:rPr>
      <w:kern w:val="0"/>
      <w:sz w:val="24"/>
      <w:szCs w:val="24"/>
    </w:rPr>
  </w:style>
  <w:style w:type="paragraph" w:styleId="28">
    <w:name w:val="toc 1"/>
    <w:basedOn w:val="1"/>
    <w:next w:val="1"/>
    <w:autoRedefine/>
    <w:unhideWhenUsed/>
    <w:qFormat/>
    <w:uiPriority w:val="39"/>
    <w:pPr>
      <w:spacing w:line="420" w:lineRule="exact"/>
    </w:pPr>
    <w:rPr>
      <w:rFonts w:ascii="Times New Roman" w:hAnsi="Times New Roman" w:eastAsia="宋体"/>
      <w:b/>
      <w:sz w:val="24"/>
      <w:szCs w:val="24"/>
    </w:rPr>
  </w:style>
  <w:style w:type="paragraph" w:styleId="29">
    <w:name w:val="toc 2"/>
    <w:basedOn w:val="1"/>
    <w:next w:val="1"/>
    <w:autoRedefine/>
    <w:unhideWhenUsed/>
    <w:qFormat/>
    <w:uiPriority w:val="39"/>
    <w:pPr>
      <w:spacing w:line="420" w:lineRule="exact"/>
      <w:ind w:left="420" w:leftChars="200"/>
    </w:pPr>
    <w:rPr>
      <w:rFonts w:ascii="Times New Roman" w:hAnsi="Times New Roman" w:eastAsia="宋体"/>
      <w:sz w:val="24"/>
      <w:szCs w:val="24"/>
    </w:rPr>
  </w:style>
  <w:style w:type="paragraph" w:styleId="30">
    <w:name w:val="Normal (Web)"/>
    <w:basedOn w:val="1"/>
    <w:next w:val="19"/>
    <w:autoRedefine/>
    <w:qFormat/>
    <w:uiPriority w:val="0"/>
    <w:pPr>
      <w:widowControl/>
      <w:spacing w:before="100" w:beforeAutospacing="1" w:after="100" w:afterAutospacing="1"/>
      <w:jc w:val="left"/>
    </w:pPr>
    <w:rPr>
      <w:rFonts w:ascii="宋体" w:hAnsi="宋体"/>
      <w:kern w:val="0"/>
      <w:sz w:val="24"/>
      <w:szCs w:val="20"/>
    </w:rPr>
  </w:style>
  <w:style w:type="paragraph" w:styleId="31">
    <w:name w:val="annotation subject"/>
    <w:basedOn w:val="11"/>
    <w:next w:val="11"/>
    <w:link w:val="62"/>
    <w:autoRedefine/>
    <w:semiHidden/>
    <w:unhideWhenUsed/>
    <w:qFormat/>
    <w:uiPriority w:val="99"/>
    <w:rPr>
      <w:b/>
      <w:bCs/>
    </w:rPr>
  </w:style>
  <w:style w:type="table" w:styleId="33">
    <w:name w:val="Table Grid"/>
    <w:basedOn w:val="32"/>
    <w:autoRedefine/>
    <w:qFormat/>
    <w:uiPriority w:val="59"/>
    <w:rPr>
      <w:rFonts w:asciiTheme="minorHAnsi" w:hAnsiTheme="minorHAnsi" w:eastAsiaTheme="minorEastAsia" w:cstheme="minorBidi"/>
      <w:kern w:val="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5">
    <w:name w:val="FollowedHyperlink"/>
    <w:basedOn w:val="34"/>
    <w:autoRedefine/>
    <w:semiHidden/>
    <w:unhideWhenUsed/>
    <w:qFormat/>
    <w:uiPriority w:val="99"/>
    <w:rPr>
      <w:color w:val="185ECF"/>
      <w:u w:val="none"/>
    </w:rPr>
  </w:style>
  <w:style w:type="character" w:styleId="36">
    <w:name w:val="Hyperlink"/>
    <w:basedOn w:val="34"/>
    <w:autoRedefine/>
    <w:semiHidden/>
    <w:unhideWhenUsed/>
    <w:qFormat/>
    <w:uiPriority w:val="99"/>
    <w:rPr>
      <w:color w:val="0000FF"/>
      <w:u w:val="single"/>
    </w:rPr>
  </w:style>
  <w:style w:type="character" w:styleId="37">
    <w:name w:val="annotation reference"/>
    <w:basedOn w:val="34"/>
    <w:autoRedefine/>
    <w:semiHidden/>
    <w:unhideWhenUsed/>
    <w:qFormat/>
    <w:uiPriority w:val="99"/>
    <w:rPr>
      <w:sz w:val="21"/>
      <w:szCs w:val="21"/>
    </w:rPr>
  </w:style>
  <w:style w:type="paragraph" w:customStyle="1" w:styleId="38">
    <w:name w:val=" Char Char Char Char Char Char Char Char Char Char Char Char Char"/>
    <w:basedOn w:val="6"/>
    <w:next w:val="39"/>
    <w:qFormat/>
    <w:uiPriority w:val="0"/>
    <w:pPr>
      <w:tabs>
        <w:tab w:val="left" w:pos="360"/>
        <w:tab w:val="left" w:pos="900"/>
      </w:tabs>
      <w:snapToGrid w:val="0"/>
      <w:spacing w:before="120" w:beforeLines="0" w:after="120" w:afterLines="0" w:line="360" w:lineRule="auto"/>
      <w:ind w:left="542" w:leftChars="-12"/>
      <w:jc w:val="left"/>
    </w:pPr>
    <w:rPr>
      <w:rFonts w:eastAsia="黑体"/>
      <w:b w:val="0"/>
      <w:snapToGrid w:val="0"/>
      <w:sz w:val="24"/>
      <w:szCs w:val="24"/>
    </w:rPr>
  </w:style>
  <w:style w:type="paragraph" w:customStyle="1" w:styleId="39">
    <w:name w:val="point101"/>
    <w:basedOn w:val="1"/>
    <w:next w:val="40"/>
    <w:autoRedefine/>
    <w:qFormat/>
    <w:uiPriority w:val="0"/>
    <w:pPr>
      <w:widowControl/>
      <w:spacing w:before="100" w:beforeAutospacing="1" w:after="100" w:afterAutospacing="1" w:line="390" w:lineRule="atLeast"/>
      <w:jc w:val="left"/>
    </w:pPr>
    <w:rPr>
      <w:rFonts w:ascii="宋体" w:hAnsi="宋体" w:cs="宋体"/>
      <w:kern w:val="0"/>
      <w:sz w:val="18"/>
      <w:szCs w:val="18"/>
    </w:rPr>
  </w:style>
  <w:style w:type="paragraph" w:customStyle="1" w:styleId="40">
    <w:name w:val="样式1"/>
    <w:basedOn w:val="25"/>
    <w:next w:val="41"/>
    <w:autoRedefine/>
    <w:qFormat/>
    <w:uiPriority w:val="0"/>
    <w:pPr>
      <w:suppressAutoHyphens/>
      <w:spacing w:line="480" w:lineRule="exact"/>
      <w:ind w:firstLine="198"/>
    </w:pPr>
    <w:rPr>
      <w:spacing w:val="18"/>
      <w:kern w:val="0"/>
      <w:sz w:val="24"/>
      <w:szCs w:val="20"/>
    </w:rPr>
  </w:style>
  <w:style w:type="paragraph" w:customStyle="1" w:styleId="41">
    <w:name w:val="标题样式2"/>
    <w:basedOn w:val="5"/>
    <w:next w:val="30"/>
    <w:autoRedefine/>
    <w:qFormat/>
    <w:uiPriority w:val="0"/>
    <w:pPr>
      <w:widowControl/>
      <w:spacing w:before="120" w:after="120" w:line="360" w:lineRule="auto"/>
    </w:pPr>
    <w:rPr>
      <w:rFonts w:ascii="黑体" w:hAnsi="Times New Roman" w:cs="宋体"/>
      <w:color w:val="0000FF"/>
      <w:kern w:val="0"/>
      <w:sz w:val="24"/>
      <w:szCs w:val="24"/>
    </w:rPr>
  </w:style>
  <w:style w:type="paragraph" w:customStyle="1" w:styleId="42">
    <w:name w:val="Char Char Char Char Char Char Char Char Char Char Char Char Char"/>
    <w:basedOn w:val="1"/>
    <w:next w:val="39"/>
    <w:autoRedefine/>
    <w:qFormat/>
    <w:uiPriority w:val="0"/>
    <w:rPr>
      <w:szCs w:val="24"/>
    </w:rPr>
  </w:style>
  <w:style w:type="paragraph" w:customStyle="1" w:styleId="43">
    <w:name w:val="正文（首行缩进）"/>
    <w:basedOn w:val="1"/>
    <w:autoRedefine/>
    <w:qFormat/>
    <w:uiPriority w:val="0"/>
    <w:pPr>
      <w:widowControl/>
      <w:adjustRightInd w:val="0"/>
      <w:snapToGrid w:val="0"/>
      <w:spacing w:line="360" w:lineRule="auto"/>
      <w:ind w:firstLine="480" w:firstLineChars="200"/>
      <w:jc w:val="left"/>
    </w:pPr>
    <w:rPr>
      <w:color w:val="000000"/>
      <w:sz w:val="24"/>
      <w:szCs w:val="24"/>
    </w:rPr>
  </w:style>
  <w:style w:type="character" w:customStyle="1" w:styleId="44">
    <w:name w:val="标题 3 Char"/>
    <w:basedOn w:val="34"/>
    <w:link w:val="6"/>
    <w:autoRedefine/>
    <w:qFormat/>
    <w:uiPriority w:val="0"/>
    <w:rPr>
      <w:rFonts w:eastAsiaTheme="minorEastAsia"/>
      <w:b/>
      <w:color w:val="auto"/>
      <w:kern w:val="2"/>
      <w:sz w:val="24"/>
      <w:szCs w:val="24"/>
    </w:rPr>
  </w:style>
  <w:style w:type="character" w:customStyle="1" w:styleId="45">
    <w:name w:val="标题 2 Char"/>
    <w:basedOn w:val="34"/>
    <w:link w:val="5"/>
    <w:autoRedefine/>
    <w:qFormat/>
    <w:uiPriority w:val="9"/>
    <w:rPr>
      <w:rFonts w:eastAsiaTheme="majorEastAsia" w:cstheme="majorBidi"/>
      <w:b/>
      <w:bCs/>
      <w:color w:val="auto"/>
      <w:kern w:val="2"/>
      <w:sz w:val="28"/>
      <w:szCs w:val="32"/>
    </w:rPr>
  </w:style>
  <w:style w:type="character" w:customStyle="1" w:styleId="46">
    <w:name w:val="标题 1 Char"/>
    <w:basedOn w:val="34"/>
    <w:link w:val="4"/>
    <w:autoRedefine/>
    <w:qFormat/>
    <w:uiPriority w:val="9"/>
    <w:rPr>
      <w:b/>
      <w:bCs/>
      <w:color w:val="auto"/>
      <w:kern w:val="44"/>
      <w:sz w:val="30"/>
      <w:szCs w:val="44"/>
    </w:rPr>
  </w:style>
  <w:style w:type="character" w:customStyle="1" w:styleId="47">
    <w:name w:val="页眉 Char"/>
    <w:basedOn w:val="34"/>
    <w:link w:val="25"/>
    <w:autoRedefine/>
    <w:qFormat/>
    <w:uiPriority w:val="99"/>
    <w:rPr>
      <w:sz w:val="18"/>
      <w:szCs w:val="18"/>
    </w:rPr>
  </w:style>
  <w:style w:type="character" w:customStyle="1" w:styleId="48">
    <w:name w:val="页脚 Char"/>
    <w:basedOn w:val="34"/>
    <w:link w:val="24"/>
    <w:autoRedefine/>
    <w:qFormat/>
    <w:uiPriority w:val="99"/>
    <w:rPr>
      <w:sz w:val="18"/>
      <w:szCs w:val="18"/>
    </w:rPr>
  </w:style>
  <w:style w:type="character" w:customStyle="1" w:styleId="49">
    <w:name w:val="正文文本缩进 2 Char"/>
    <w:link w:val="50"/>
    <w:autoRedefine/>
    <w:qFormat/>
    <w:uiPriority w:val="0"/>
    <w:rPr>
      <w:rFonts w:eastAsia="仿宋_GB2312"/>
      <w:sz w:val="28"/>
      <w:szCs w:val="20"/>
    </w:rPr>
  </w:style>
  <w:style w:type="paragraph" w:customStyle="1" w:styleId="50">
    <w:name w:val="正文文本缩进 21"/>
    <w:basedOn w:val="1"/>
    <w:link w:val="49"/>
    <w:autoRedefine/>
    <w:qFormat/>
    <w:uiPriority w:val="0"/>
    <w:pPr>
      <w:adjustRightInd w:val="0"/>
      <w:spacing w:line="312" w:lineRule="atLeast"/>
      <w:ind w:firstLine="570"/>
      <w:jc w:val="distribute"/>
      <w:textAlignment w:val="baseline"/>
    </w:pPr>
    <w:rPr>
      <w:rFonts w:ascii="Times New Roman" w:hAnsi="Times New Roman" w:eastAsia="仿宋_GB2312"/>
      <w:color w:val="FF0000"/>
      <w:kern w:val="0"/>
      <w:sz w:val="28"/>
      <w:szCs w:val="20"/>
    </w:rPr>
  </w:style>
  <w:style w:type="character" w:customStyle="1" w:styleId="51">
    <w:name w:val="标题 4 Char"/>
    <w:basedOn w:val="34"/>
    <w:link w:val="7"/>
    <w:autoRedefine/>
    <w:qFormat/>
    <w:uiPriority w:val="9"/>
    <w:rPr>
      <w:rFonts w:eastAsiaTheme="majorEastAsia" w:cstheme="majorBidi"/>
      <w:bCs/>
      <w:color w:val="auto"/>
      <w:kern w:val="2"/>
      <w:sz w:val="24"/>
      <w:szCs w:val="28"/>
    </w:rPr>
  </w:style>
  <w:style w:type="paragraph" w:styleId="52">
    <w:name w:val="List Paragraph"/>
    <w:basedOn w:val="1"/>
    <w:link w:val="65"/>
    <w:autoRedefine/>
    <w:qFormat/>
    <w:uiPriority w:val="34"/>
    <w:pPr>
      <w:ind w:firstLine="420" w:firstLineChars="200"/>
    </w:pPr>
    <w:rPr>
      <w:rFonts w:ascii="Times New Roman" w:hAnsi="Times New Roman" w:eastAsia="宋体"/>
      <w:sz w:val="24"/>
      <w:szCs w:val="24"/>
    </w:rPr>
  </w:style>
  <w:style w:type="paragraph" w:customStyle="1" w:styleId="53">
    <w:name w:val="表格"/>
    <w:basedOn w:val="9"/>
    <w:next w:val="1"/>
    <w:link w:val="56"/>
    <w:autoRedefine/>
    <w:qFormat/>
    <w:uiPriority w:val="0"/>
    <w:pPr>
      <w:snapToGrid w:val="0"/>
      <w:spacing w:line="360" w:lineRule="exact"/>
      <w:ind w:firstLine="0"/>
      <w:jc w:val="center"/>
    </w:pPr>
    <w:rPr>
      <w:rFonts w:eastAsia="宋体"/>
    </w:rPr>
  </w:style>
  <w:style w:type="paragraph" w:customStyle="1" w:styleId="54">
    <w:name w:val="表"/>
    <w:autoRedefine/>
    <w:qFormat/>
    <w:uiPriority w:val="0"/>
    <w:pPr>
      <w:spacing w:line="440" w:lineRule="exact"/>
      <w:ind w:firstLine="200" w:firstLineChars="200"/>
      <w:jc w:val="both"/>
    </w:pPr>
    <w:rPr>
      <w:rFonts w:ascii="Times New Roman" w:hAnsi="Times New Roman" w:eastAsia="宋体" w:cs="Times New Roman"/>
      <w:sz w:val="24"/>
      <w:szCs w:val="22"/>
      <w:lang w:val="en-US" w:eastAsia="zh-CN" w:bidi="ar-SA"/>
    </w:rPr>
  </w:style>
  <w:style w:type="paragraph" w:customStyle="1" w:styleId="55">
    <w:name w:val="正文2"/>
    <w:autoRedefine/>
    <w:qFormat/>
    <w:uiPriority w:val="0"/>
    <w:pPr>
      <w:widowControl w:val="0"/>
      <w:suppressAutoHyphens/>
      <w:spacing w:line="520" w:lineRule="atLeast"/>
      <w:ind w:firstLine="680"/>
      <w:jc w:val="both"/>
    </w:pPr>
    <w:rPr>
      <w:rFonts w:ascii="Times New Roman" w:hAnsi="Times New Roman" w:eastAsia="宋体" w:cs="Times New Roman"/>
      <w:spacing w:val="18"/>
      <w:kern w:val="2"/>
      <w:sz w:val="32"/>
      <w:szCs w:val="22"/>
      <w:lang w:val="en-US" w:eastAsia="zh-CN" w:bidi="ar-SA"/>
    </w:rPr>
  </w:style>
  <w:style w:type="character" w:customStyle="1" w:styleId="56">
    <w:name w:val="表格 Char"/>
    <w:link w:val="53"/>
    <w:autoRedefine/>
    <w:qFormat/>
    <w:uiPriority w:val="0"/>
    <w:rPr>
      <w:rFonts w:ascii="等线" w:hAnsi="等线"/>
      <w:kern w:val="2"/>
      <w:sz w:val="21"/>
      <w:szCs w:val="22"/>
    </w:rPr>
  </w:style>
  <w:style w:type="character" w:customStyle="1" w:styleId="57">
    <w:name w:val="批注框文本 Char"/>
    <w:basedOn w:val="34"/>
    <w:link w:val="23"/>
    <w:autoRedefine/>
    <w:semiHidden/>
    <w:qFormat/>
    <w:uiPriority w:val="99"/>
    <w:rPr>
      <w:rFonts w:ascii="等线" w:hAnsi="等线" w:eastAsia="等线"/>
      <w:kern w:val="2"/>
      <w:sz w:val="18"/>
      <w:szCs w:val="18"/>
    </w:rPr>
  </w:style>
  <w:style w:type="character" w:customStyle="1" w:styleId="58">
    <w:name w:val="正文文本 Char"/>
    <w:basedOn w:val="34"/>
    <w:link w:val="13"/>
    <w:autoRedefine/>
    <w:qFormat/>
    <w:uiPriority w:val="0"/>
    <w:rPr>
      <w:rFonts w:asciiTheme="minorHAnsi" w:hAnsiTheme="minorHAnsi" w:eastAsiaTheme="minorEastAsia" w:cstheme="minorBidi"/>
      <w:kern w:val="2"/>
      <w:sz w:val="52"/>
    </w:rPr>
  </w:style>
  <w:style w:type="paragraph" w:customStyle="1" w:styleId="59">
    <w:name w:val="表格内容1"/>
    <w:basedOn w:val="1"/>
    <w:link w:val="60"/>
    <w:autoRedefine/>
    <w:qFormat/>
    <w:uiPriority w:val="0"/>
    <w:pPr>
      <w:spacing w:line="360" w:lineRule="exact"/>
      <w:jc w:val="center"/>
    </w:pPr>
    <w:rPr>
      <w:rFonts w:eastAsia="宋体"/>
      <w:color w:val="000000"/>
      <w:szCs w:val="21"/>
      <w:lang w:val="zh-CN" w:eastAsia="zh-CN"/>
    </w:rPr>
  </w:style>
  <w:style w:type="character" w:customStyle="1" w:styleId="60">
    <w:name w:val="表格内容1 Char"/>
    <w:link w:val="59"/>
    <w:autoRedefine/>
    <w:qFormat/>
    <w:uiPriority w:val="0"/>
    <w:rPr>
      <w:rFonts w:ascii="等线" w:hAnsi="等线"/>
      <w:color w:val="000000"/>
      <w:kern w:val="2"/>
      <w:sz w:val="21"/>
      <w:szCs w:val="21"/>
      <w:lang w:val="zh-CN" w:eastAsia="zh-CN"/>
    </w:rPr>
  </w:style>
  <w:style w:type="character" w:customStyle="1" w:styleId="61">
    <w:name w:val="批注文字 Char"/>
    <w:basedOn w:val="34"/>
    <w:link w:val="11"/>
    <w:autoRedefine/>
    <w:semiHidden/>
    <w:qFormat/>
    <w:uiPriority w:val="99"/>
    <w:rPr>
      <w:rFonts w:ascii="等线" w:hAnsi="等线" w:eastAsia="等线"/>
      <w:kern w:val="2"/>
      <w:sz w:val="21"/>
      <w:szCs w:val="22"/>
    </w:rPr>
  </w:style>
  <w:style w:type="character" w:customStyle="1" w:styleId="62">
    <w:name w:val="批注主题 Char"/>
    <w:basedOn w:val="61"/>
    <w:link w:val="31"/>
    <w:autoRedefine/>
    <w:semiHidden/>
    <w:qFormat/>
    <w:uiPriority w:val="99"/>
    <w:rPr>
      <w:rFonts w:ascii="等线" w:hAnsi="等线" w:eastAsia="等线"/>
      <w:b/>
      <w:bCs/>
      <w:kern w:val="2"/>
      <w:sz w:val="21"/>
      <w:szCs w:val="22"/>
    </w:rPr>
  </w:style>
  <w:style w:type="character" w:styleId="63">
    <w:name w:val="Placeholder Text"/>
    <w:basedOn w:val="34"/>
    <w:autoRedefine/>
    <w:unhideWhenUsed/>
    <w:qFormat/>
    <w:uiPriority w:val="99"/>
    <w:rPr>
      <w:color w:val="808080"/>
    </w:rPr>
  </w:style>
  <w:style w:type="table" w:customStyle="1" w:styleId="64">
    <w:name w:val="网格型1"/>
    <w:basedOn w:val="32"/>
    <w:autoRedefine/>
    <w:qFormat/>
    <w:uiPriority w:val="5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5">
    <w:name w:val="列出段落 Char"/>
    <w:link w:val="52"/>
    <w:autoRedefine/>
    <w:qFormat/>
    <w:uiPriority w:val="34"/>
    <w:rPr>
      <w:kern w:val="2"/>
      <w:sz w:val="24"/>
      <w:szCs w:val="24"/>
    </w:rPr>
  </w:style>
  <w:style w:type="character" w:customStyle="1" w:styleId="66">
    <w:name w:val="checkbox"/>
    <w:basedOn w:val="34"/>
    <w:autoRedefine/>
    <w:qFormat/>
    <w:uiPriority w:val="0"/>
  </w:style>
  <w:style w:type="character" w:customStyle="1" w:styleId="67">
    <w:name w:val="shenbao"/>
    <w:basedOn w:val="34"/>
    <w:autoRedefine/>
    <w:qFormat/>
    <w:uiPriority w:val="0"/>
    <w:rPr>
      <w:color w:val="EF6334"/>
    </w:rPr>
  </w:style>
  <w:style w:type="character" w:customStyle="1" w:styleId="68">
    <w:name w:val="chakan"/>
    <w:basedOn w:val="34"/>
    <w:autoRedefine/>
    <w:qFormat/>
    <w:uiPriority w:val="0"/>
    <w:rPr>
      <w:color w:val="0064EA"/>
    </w:rPr>
  </w:style>
  <w:style w:type="paragraph" w:customStyle="1" w:styleId="69">
    <w:name w:val="Default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0">
    <w:name w:val="表格内容"/>
    <w:autoRedefine/>
    <w:qFormat/>
    <w:uiPriority w:val="0"/>
    <w:pPr>
      <w:adjustRightInd w:val="0"/>
      <w:snapToGrid w:val="0"/>
      <w:spacing w:line="360" w:lineRule="exact"/>
      <w:jc w:val="center"/>
    </w:pPr>
    <w:rPr>
      <w:rFonts w:ascii="Times New Roman" w:hAnsi="Times New Roman" w:eastAsia="宋体" w:cs="Times New Roman"/>
      <w:color w:val="000000"/>
      <w:sz w:val="21"/>
      <w:szCs w:val="24"/>
      <w:lang w:val="en-US" w:eastAsia="zh-CN" w:bidi="ar-SA"/>
    </w:rPr>
  </w:style>
  <w:style w:type="character" w:customStyle="1" w:styleId="71">
    <w:name w:val="font11"/>
    <w:autoRedefine/>
    <w:qFormat/>
    <w:uiPriority w:val="0"/>
    <w:rPr>
      <w:rFonts w:hint="eastAsia" w:ascii="宋体" w:hAnsi="宋体" w:eastAsia="宋体" w:cs="宋体"/>
      <w:color w:val="000000"/>
      <w:sz w:val="20"/>
      <w:szCs w:val="20"/>
      <w:u w:val="none"/>
      <w:vertAlign w:val="superscript"/>
    </w:rPr>
  </w:style>
  <w:style w:type="paragraph" w:customStyle="1" w:styleId="72">
    <w:name w:val="列出段落1"/>
    <w:basedOn w:val="1"/>
    <w:autoRedefine/>
    <w:qFormat/>
    <w:uiPriority w:val="34"/>
    <w:pPr>
      <w:ind w:firstLine="420" w:firstLineChars="200"/>
    </w:pPr>
  </w:style>
  <w:style w:type="paragraph" w:customStyle="1" w:styleId="73">
    <w:name w:val="WPSOffice手动目录 1"/>
    <w:autoRedefine/>
    <w:qFormat/>
    <w:uiPriority w:val="0"/>
    <w:pPr>
      <w:ind w:leftChars="0"/>
    </w:pPr>
    <w:rPr>
      <w:rFonts w:ascii="Times New Roman" w:hAnsi="Times New Roman" w:eastAsia="宋体" w:cs="Times New Roman"/>
      <w:sz w:val="20"/>
      <w:szCs w:val="20"/>
    </w:rPr>
  </w:style>
  <w:style w:type="paragraph" w:customStyle="1" w:styleId="74">
    <w:name w:val="WPSOffice手动目录 2"/>
    <w:autoRedefine/>
    <w:qFormat/>
    <w:uiPriority w:val="0"/>
    <w:pPr>
      <w:ind w:leftChars="200"/>
    </w:pPr>
    <w:rPr>
      <w:rFonts w:ascii="Times New Roman" w:hAnsi="Times New Roman" w:eastAsia="宋体" w:cs="Times New Roman"/>
      <w:sz w:val="20"/>
      <w:szCs w:val="20"/>
    </w:rPr>
  </w:style>
  <w:style w:type="paragraph" w:customStyle="1" w:styleId="75">
    <w:name w:val="文本"/>
    <w:basedOn w:val="1"/>
    <w:autoRedefine/>
    <w:qFormat/>
    <w:uiPriority w:val="0"/>
    <w:pPr>
      <w:adjustRightInd w:val="0"/>
      <w:snapToGrid w:val="0"/>
      <w:spacing w:line="360" w:lineRule="auto"/>
      <w:ind w:firstLine="600" w:firstLineChars="200"/>
    </w:pPr>
    <w:rPr>
      <w:rFonts w:ascii="Times New Roman"/>
      <w:bCs/>
      <w:kern w:val="0"/>
      <w:sz w:val="28"/>
      <w:szCs w:val="30"/>
    </w:rPr>
  </w:style>
  <w:style w:type="paragraph" w:customStyle="1" w:styleId="76">
    <w:name w:val="Table Paragraph"/>
    <w:basedOn w:val="1"/>
    <w:autoRedefine/>
    <w:qFormat/>
    <w:uiPriority w:val="1"/>
    <w:pPr>
      <w:autoSpaceDE w:val="0"/>
      <w:autoSpaceDN w:val="0"/>
      <w:adjustRightInd w:val="0"/>
      <w:jc w:val="left"/>
    </w:pPr>
    <w:rPr>
      <w:rFonts w:ascii="Times New Roman" w:hAnsi="Times New Roman"/>
      <w:kern w:val="0"/>
      <w:sz w:val="24"/>
      <w:szCs w:val="24"/>
    </w:rPr>
  </w:style>
  <w:style w:type="paragraph" w:customStyle="1" w:styleId="77">
    <w:name w:val="样式 样式 样式 四号 左侧:  1.53 厘米 + 首行缩进:  2 字符 + 居中 左侧:  2 字符 首行缩进:  2..."/>
    <w:basedOn w:val="78"/>
    <w:autoRedefine/>
    <w:qFormat/>
    <w:uiPriority w:val="0"/>
    <w:pPr>
      <w:ind w:firstLine="0" w:firstLineChars="0"/>
      <w:jc w:val="center"/>
    </w:pPr>
  </w:style>
  <w:style w:type="paragraph" w:customStyle="1" w:styleId="78">
    <w:name w:val="样式 样式 四号 左侧:  1.53 厘米 + 首行缩进:  2 字符"/>
    <w:basedOn w:val="79"/>
    <w:autoRedefine/>
    <w:qFormat/>
    <w:uiPriority w:val="0"/>
    <w:pPr>
      <w:ind w:left="200" w:leftChars="200"/>
    </w:pPr>
    <w:rPr>
      <w:szCs w:val="20"/>
    </w:rPr>
  </w:style>
  <w:style w:type="paragraph" w:customStyle="1" w:styleId="79">
    <w:name w:val="样式 四号 左侧:  1.53 厘米"/>
    <w:basedOn w:val="1"/>
    <w:autoRedefine/>
    <w:qFormat/>
    <w:uiPriority w:val="0"/>
    <w:pPr>
      <w:adjustRightInd w:val="0"/>
    </w:pPr>
    <w:rPr>
      <w:w w:val="90"/>
      <w:sz w:val="28"/>
      <w:szCs w:val="28"/>
    </w:rPr>
  </w:style>
  <w:style w:type="character" w:customStyle="1" w:styleId="80">
    <w:name w:val="font51"/>
    <w:basedOn w:val="34"/>
    <w:autoRedefine/>
    <w:qFormat/>
    <w:uiPriority w:val="0"/>
    <w:rPr>
      <w:rFonts w:hint="default" w:ascii="Times New Roman" w:hAnsi="Times New Roman" w:cs="Times New Roman"/>
      <w:color w:val="000000"/>
      <w:sz w:val="21"/>
      <w:szCs w:val="21"/>
      <w:u w:val="none"/>
    </w:rPr>
  </w:style>
  <w:style w:type="paragraph" w:customStyle="1" w:styleId="81">
    <w:name w:val="报告正文"/>
    <w:basedOn w:val="1"/>
    <w:qFormat/>
    <w:uiPriority w:val="0"/>
    <w:pPr>
      <w:adjustRightInd w:val="0"/>
      <w:snapToGrid w:val="0"/>
      <w:spacing w:line="480" w:lineRule="atLeast"/>
      <w:ind w:firstLine="480" w:firstLineChars="200"/>
    </w:pPr>
    <w:rPr>
      <w:rFonts w:cs="宋体"/>
      <w:sz w:val="24"/>
    </w:rPr>
  </w:style>
  <w:style w:type="table" w:customStyle="1" w:styleId="82">
    <w:name w:val="Table Normal"/>
    <w:unhideWhenUsed/>
    <w:qFormat/>
    <w:uiPriority w:val="0"/>
    <w:tblPr>
      <w:tblCellMar>
        <w:top w:w="0" w:type="dxa"/>
        <w:left w:w="0" w:type="dxa"/>
        <w:bottom w:w="0" w:type="dxa"/>
        <w:right w:w="0" w:type="dxa"/>
      </w:tblCellMar>
    </w:tblPr>
  </w:style>
  <w:style w:type="paragraph" w:customStyle="1" w:styleId="83">
    <w:name w:val="Table Text"/>
    <w:basedOn w:val="1"/>
    <w:semiHidden/>
    <w:qFormat/>
    <w:uiPriority w:val="0"/>
    <w:rPr>
      <w:rFonts w:ascii="Times New Roman" w:hAnsi="Times New Roman" w:eastAsia="Times New Roman" w:cs="Times New Roman"/>
      <w:sz w:val="20"/>
      <w:szCs w:val="20"/>
      <w:lang w:val="en-US" w:eastAsia="en-US" w:bidi="ar-SA"/>
    </w:rPr>
  </w:style>
  <w:style w:type="paragraph" w:customStyle="1" w:styleId="84">
    <w:name w:val="内容11"/>
    <w:basedOn w:val="16"/>
    <w:autoRedefine/>
    <w:qFormat/>
    <w:uiPriority w:val="0"/>
    <w:pPr>
      <w:adjustRightInd w:val="0"/>
      <w:spacing w:line="360" w:lineRule="auto"/>
      <w:ind w:right="-92" w:rightChars="-44" w:firstLine="415" w:firstLineChars="179"/>
      <w:textAlignment w:val="baseline"/>
    </w:pPr>
    <w:rPr>
      <w:rFonts w:hAnsi="宋体" w:cs="宋体"/>
      <w:spacing w:val="-4"/>
      <w:position w:val="6"/>
      <w:sz w:val="24"/>
      <w:szCs w:val="24"/>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2.emf"/><Relationship Id="rId8" Type="http://schemas.openxmlformats.org/officeDocument/2006/relationships/oleObject" Target="embeddings/oleObject2.bin"/><Relationship Id="rId7" Type="http://schemas.openxmlformats.org/officeDocument/2006/relationships/image" Target="media/image1.e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9.jpeg"/><Relationship Id="rId17" Type="http://schemas.openxmlformats.org/officeDocument/2006/relationships/image" Target="media/image8.jpeg"/><Relationship Id="rId16" Type="http://schemas.openxmlformats.org/officeDocument/2006/relationships/image" Target="media/image7.jpeg"/><Relationship Id="rId15" Type="http://schemas.openxmlformats.org/officeDocument/2006/relationships/image" Target="media/image6.jpeg"/><Relationship Id="rId14" Type="http://schemas.openxmlformats.org/officeDocument/2006/relationships/image" Target="media/image5.emf"/><Relationship Id="rId13" Type="http://schemas.openxmlformats.org/officeDocument/2006/relationships/oleObject" Target="embeddings/oleObject4.bin"/><Relationship Id="rId12" Type="http://schemas.openxmlformats.org/officeDocument/2006/relationships/image" Target="media/image4.emf"/><Relationship Id="rId11" Type="http://schemas.openxmlformats.org/officeDocument/2006/relationships/oleObject" Target="embeddings/oleObject3.bin"/><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bwMode="auto">
        <a:noFill/>
        <a:ln w="9525">
          <a:solidFill>
            <a:srgbClr val="000000"/>
          </a:solidFill>
          <a:prstDash val="dash"/>
          <a:miter lim="800000"/>
          <a:headEnd type="none"/>
          <a:tailEnd type="triangle"/>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60</Pages>
  <Words>7969</Words>
  <Characters>8869</Characters>
  <Lines>157</Lines>
  <Paragraphs>44</Paragraphs>
  <TotalTime>8</TotalTime>
  <ScaleCrop>false</ScaleCrop>
  <LinksUpToDate>false</LinksUpToDate>
  <CharactersWithSpaces>8918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2018-07-24T00:51:00Z</dcterms:created>
  <dc:creator>Sky123.Org</dc:creator>
  <cp:lastModifiedBy>17.</cp:lastModifiedBy>
  <cp:lastPrinted>2026-04-14T09:31:00Z</cp:lastPrinted>
  <dcterms:modified xsi:type="dcterms:W3CDTF">2026-05-03T09:19:34Z</dcterms:modified>
  <cp:revision>1893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11AFEB0D2BC848D0A9F6AD60DFA00BA1_13</vt:lpwstr>
  </property>
  <property fmtid="{D5CDD505-2E9C-101B-9397-08002B2CF9AE}" pid="4" name="KSOTemplateDocerSaveRecord">
    <vt:lpwstr>eyJoZGlkIjoiNWVlNmJlMmVhOGY0NTg1Y2MwNTk1YmI2OGQwMzI4NDMiLCJ1c2VySWQiOiI0MDg0Nzc4NjUifQ==</vt:lpwstr>
  </property>
</Properties>
</file>