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6"/>
          <w:rFonts w:hint="default" w:ascii="宋体" w:hAnsi="宋体" w:eastAsia="宋体" w:cs="宋体"/>
          <w:i w:val="0"/>
          <w:iCs w:val="0"/>
          <w:caps w:val="0"/>
          <w:color w:val="000000"/>
          <w:spacing w:val="0"/>
          <w:sz w:val="36"/>
          <w:szCs w:val="36"/>
          <w:lang w:val="en-US" w:eastAsia="zh-CN"/>
        </w:rPr>
      </w:pPr>
      <w:r>
        <w:rPr>
          <w:rStyle w:val="6"/>
          <w:rFonts w:hint="eastAsia" w:ascii="宋体" w:hAnsi="宋体" w:eastAsia="宋体" w:cs="宋体"/>
          <w:i w:val="0"/>
          <w:iCs w:val="0"/>
          <w:caps w:val="0"/>
          <w:color w:val="000000"/>
          <w:spacing w:val="0"/>
          <w:sz w:val="36"/>
          <w:szCs w:val="36"/>
          <w:lang w:val="en-US" w:eastAsia="zh-CN"/>
        </w:rPr>
        <w:t>钦州海诺尔环保发电有限责任公司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36"/>
          <w:szCs w:val="36"/>
        </w:rPr>
        <w:t>202</w:t>
      </w:r>
      <w:r>
        <w:rPr>
          <w:rStyle w:val="6"/>
          <w:rFonts w:hint="eastAsia" w:ascii="宋体" w:hAnsi="宋体" w:eastAsia="宋体" w:cs="宋体"/>
          <w:i w:val="0"/>
          <w:iCs w:val="0"/>
          <w:caps w:val="0"/>
          <w:color w:val="000000"/>
          <w:spacing w:val="0"/>
          <w:sz w:val="36"/>
          <w:szCs w:val="36"/>
          <w:lang w:val="en-US" w:eastAsia="zh-CN"/>
        </w:rPr>
        <w:t>1</w:t>
      </w:r>
      <w:r>
        <w:rPr>
          <w:rStyle w:val="6"/>
          <w:rFonts w:hint="eastAsia" w:ascii="宋体" w:hAnsi="宋体" w:eastAsia="宋体" w:cs="宋体"/>
          <w:i w:val="0"/>
          <w:iCs w:val="0"/>
          <w:caps w:val="0"/>
          <w:color w:val="000000"/>
          <w:spacing w:val="0"/>
          <w:sz w:val="36"/>
          <w:szCs w:val="36"/>
        </w:rPr>
        <w:t>年度危险废物污染环境公示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8"/>
          <w:szCs w:val="28"/>
        </w:rPr>
      </w:pPr>
      <w:r>
        <w:rPr>
          <w:rFonts w:hint="eastAsia" w:ascii="宋体" w:hAnsi="宋体" w:eastAsia="宋体" w:cs="宋体"/>
          <w:i w:val="0"/>
          <w:iCs w:val="0"/>
          <w:caps w:val="0"/>
          <w:color w:val="000000"/>
          <w:spacing w:val="0"/>
          <w:sz w:val="28"/>
          <w:szCs w:val="28"/>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宋体" w:hAnsi="宋体" w:eastAsia="宋体" w:cs="宋体"/>
          <w:i w:val="0"/>
          <w:iCs w:val="0"/>
          <w:caps w:val="0"/>
          <w:color w:val="000000"/>
          <w:spacing w:val="0"/>
          <w:sz w:val="28"/>
          <w:szCs w:val="28"/>
        </w:rPr>
      </w:pPr>
      <w:r>
        <w:rPr>
          <w:rStyle w:val="6"/>
          <w:rFonts w:hint="eastAsia" w:ascii="宋体" w:hAnsi="宋体" w:eastAsia="宋体" w:cs="宋体"/>
          <w:i w:val="0"/>
          <w:iCs w:val="0"/>
          <w:caps w:val="0"/>
          <w:color w:val="000000"/>
          <w:spacing w:val="0"/>
          <w:sz w:val="28"/>
          <w:szCs w:val="28"/>
        </w:rPr>
        <w:t>一、公司简介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000000"/>
          <w:spacing w:val="0"/>
          <w:sz w:val="28"/>
          <w:szCs w:val="28"/>
          <w:lang w:val="en-US" w:eastAsia="zh-CN"/>
        </w:rPr>
      </w:pPr>
      <w:r>
        <w:rPr>
          <w:rStyle w:val="6"/>
          <w:rFonts w:hint="eastAsia" w:ascii="宋体" w:hAnsi="宋体" w:eastAsia="宋体" w:cs="宋体"/>
          <w:b w:val="0"/>
          <w:bCs/>
          <w:i w:val="0"/>
          <w:iCs w:val="0"/>
          <w:caps w:val="0"/>
          <w:color w:val="000000"/>
          <w:spacing w:val="0"/>
          <w:sz w:val="28"/>
          <w:szCs w:val="28"/>
          <w:lang w:val="en-US" w:eastAsia="zh-CN"/>
        </w:rPr>
        <w:t>钦州海诺尔环保发电有限责任公司</w:t>
      </w:r>
      <w:r>
        <w:rPr>
          <w:rFonts w:hint="eastAsia" w:ascii="宋体" w:hAnsi="宋体" w:eastAsia="宋体" w:cs="宋体"/>
          <w:i w:val="0"/>
          <w:iCs w:val="0"/>
          <w:caps w:val="0"/>
          <w:color w:val="000000"/>
          <w:spacing w:val="0"/>
          <w:sz w:val="28"/>
          <w:szCs w:val="28"/>
        </w:rPr>
        <w:t>位于钦州市</w:t>
      </w:r>
      <w:r>
        <w:rPr>
          <w:rFonts w:hint="eastAsia" w:ascii="宋体" w:hAnsi="宋体" w:eastAsia="宋体" w:cs="宋体"/>
          <w:i w:val="0"/>
          <w:iCs w:val="0"/>
          <w:caps w:val="0"/>
          <w:color w:val="000000"/>
          <w:spacing w:val="0"/>
          <w:sz w:val="28"/>
          <w:szCs w:val="28"/>
          <w:lang w:eastAsia="zh-CN"/>
        </w:rPr>
        <w:t>钦南区沙埠镇进港公路东侧</w:t>
      </w:r>
      <w:r>
        <w:rPr>
          <w:rFonts w:hint="eastAsia" w:ascii="宋体" w:hAnsi="宋体" w:eastAsia="宋体" w:cs="宋体"/>
          <w:i w:val="0"/>
          <w:iCs w:val="0"/>
          <w:caps w:val="0"/>
          <w:color w:val="000000"/>
          <w:spacing w:val="0"/>
          <w:sz w:val="28"/>
          <w:szCs w:val="28"/>
        </w:rPr>
        <w:t>，公司统一社会信用代码：</w:t>
      </w:r>
      <w:r>
        <w:rPr>
          <w:rFonts w:hint="eastAsia" w:ascii="宋体" w:hAnsi="宋体" w:eastAsia="宋体" w:cs="宋体"/>
          <w:b w:val="0"/>
          <w:bCs w:val="0"/>
          <w:i w:val="0"/>
          <w:iCs w:val="0"/>
          <w:caps w:val="0"/>
          <w:color w:val="000000"/>
          <w:spacing w:val="0"/>
          <w:sz w:val="28"/>
          <w:szCs w:val="28"/>
          <w:lang w:val="en-US" w:eastAsia="zh-CN"/>
        </w:rPr>
        <w:t>91450700099456541H</w:t>
      </w:r>
      <w:r>
        <w:rPr>
          <w:rFonts w:hint="eastAsia" w:ascii="宋体" w:hAnsi="宋体" w:eastAsia="宋体" w:cs="宋体"/>
          <w:b/>
          <w:bCs/>
          <w:i w:val="0"/>
          <w:iCs w:val="0"/>
          <w:caps w:val="0"/>
          <w:color w:val="000000"/>
          <w:spacing w:val="0"/>
          <w:sz w:val="28"/>
          <w:szCs w:val="28"/>
          <w:lang w:val="en-US" w:eastAsia="zh-CN"/>
        </w:rPr>
        <w:t>，</w:t>
      </w:r>
      <w:r>
        <w:rPr>
          <w:rFonts w:hint="eastAsia" w:ascii="宋体" w:hAnsi="宋体" w:eastAsia="宋体" w:cs="宋体"/>
          <w:b w:val="0"/>
          <w:bCs w:val="0"/>
          <w:i w:val="0"/>
          <w:iCs w:val="0"/>
          <w:caps w:val="0"/>
          <w:color w:val="000000"/>
          <w:spacing w:val="0"/>
          <w:sz w:val="28"/>
          <w:szCs w:val="28"/>
          <w:lang w:val="en-US" w:eastAsia="zh-CN"/>
        </w:rPr>
        <w:t>目前交给四川绿能新源环保科技有限公司钦州分公司运行，</w:t>
      </w:r>
      <w:r>
        <w:rPr>
          <w:rFonts w:hint="eastAsia" w:ascii="宋体" w:hAnsi="宋体" w:eastAsia="宋体" w:cs="宋体"/>
          <w:i w:val="0"/>
          <w:iCs w:val="0"/>
          <w:caps w:val="0"/>
          <w:color w:val="000000"/>
          <w:spacing w:val="0"/>
          <w:sz w:val="28"/>
          <w:szCs w:val="28"/>
        </w:rPr>
        <w:t>公司目前员工约</w:t>
      </w:r>
      <w:r>
        <w:rPr>
          <w:rFonts w:hint="eastAsia" w:ascii="宋体" w:hAnsi="宋体" w:eastAsia="宋体" w:cs="宋体"/>
          <w:i w:val="0"/>
          <w:iCs w:val="0"/>
          <w:caps w:val="0"/>
          <w:color w:val="000000"/>
          <w:spacing w:val="0"/>
          <w:sz w:val="28"/>
          <w:szCs w:val="28"/>
          <w:lang w:val="en-US" w:eastAsia="zh-CN"/>
        </w:rPr>
        <w:t>107</w:t>
      </w:r>
      <w:r>
        <w:rPr>
          <w:rFonts w:hint="eastAsia" w:ascii="宋体" w:hAnsi="宋体" w:eastAsia="宋体" w:cs="宋体"/>
          <w:i w:val="0"/>
          <w:iCs w:val="0"/>
          <w:caps w:val="0"/>
          <w:color w:val="000000"/>
          <w:spacing w:val="0"/>
          <w:sz w:val="28"/>
          <w:szCs w:val="28"/>
        </w:rPr>
        <w:t>人，</w:t>
      </w:r>
      <w:r>
        <w:rPr>
          <w:rFonts w:hint="eastAsia" w:ascii="宋体" w:hAnsi="宋体" w:eastAsia="宋体" w:cs="宋体"/>
          <w:i w:val="0"/>
          <w:iCs w:val="0"/>
          <w:caps w:val="0"/>
          <w:color w:val="000000"/>
          <w:spacing w:val="0"/>
          <w:sz w:val="28"/>
          <w:szCs w:val="28"/>
          <w:lang w:eastAsia="zh-CN"/>
        </w:rPr>
        <w:t>钦州海诺尔环保发电有限责任公司是一所处理生活垃圾发电的企业，企业拥有两台炉排式锅炉，生活垃圾处理能力为</w:t>
      </w:r>
      <w:r>
        <w:rPr>
          <w:rFonts w:hint="eastAsia" w:ascii="宋体" w:hAnsi="宋体" w:eastAsia="宋体" w:cs="宋体"/>
          <w:i w:val="0"/>
          <w:iCs w:val="0"/>
          <w:caps w:val="0"/>
          <w:color w:val="000000"/>
          <w:spacing w:val="0"/>
          <w:sz w:val="28"/>
          <w:szCs w:val="28"/>
          <w:lang w:val="en-US" w:eastAsia="zh-CN"/>
        </w:rPr>
        <w:t>600t/d。</w:t>
      </w:r>
    </w:p>
    <w:p>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产生的污染物防治情况说明</w:t>
      </w:r>
    </w:p>
    <w:p>
      <w:pPr>
        <w:pStyle w:val="2"/>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产生的固体废物</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主要为焚烧生活垃圾工艺及停炉检修及渗滤液站产生的一般固体废物（炉渣、污泥）和危险废物（飞灰除尘器布袋、液压油、汽轮机润滑油、焚烧飞灰（固化前），焚烧飞灰（固化后），废油桶），具体说明如下：</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一般固体废物：</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2021年度，两台焚烧炉处理生活垃圾产生的炉渣量为41720.72吨，全部委托给钦州伟鸿资源利用有限公司进行处置，渗滤液站产生的污泥为490车（约1300吨），污泥则由我公司焚烧炉自行焚烧处置，日产日清。</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危险废物：</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2021年度共产生焚烧飞灰（固化前）（772-002-18）共3682.7吨，自行螯合固化，产生焚烧飞灰（固化后）5454.57吨，共转运5801.8吨焚烧飞灰（固化后）至钦州市生活垃圾填埋场填埋专区进行安全填埋。2021年共产生液压油（900-218-08）0.68吨，委托北海通力环保科技有限公司进行处置共0.98吨（含2020年产生的0.3吨）。2021年废油桶（900-041-49）共产生0.26吨，未进行转运。2021年汽轮机润滑油、飞灰除尘器布袋未产生，未进行转运处置，目前厂区无库存积压。</w:t>
      </w:r>
    </w:p>
    <w:p>
      <w:pPr>
        <w:pStyle w:val="2"/>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firstLine="0" w:firstLine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产生的废水</w:t>
      </w:r>
    </w:p>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在处置生活垃圾的生产过程中主要是渗滤液，经管道输送到厂内渗滤液站进行处理，我司采用调节池--UASB--MBR系统--膜深度处理工艺处理，处置后的废水我公司采用循环回收废水再利用，进入循环水池，输送给设备进行冷却，不外排废水。</w:t>
      </w:r>
    </w:p>
    <w:p>
      <w:pPr>
        <w:pStyle w:val="2"/>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firstLine="0" w:firstLine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产生的废气</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5"/>
        <w:gridCol w:w="2746"/>
        <w:gridCol w:w="1399"/>
        <w:gridCol w:w="1414"/>
        <w:gridCol w:w="1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275" w:type="dxa"/>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产污节点</w:t>
            </w: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污染物项目</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p>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小时限值</w:t>
            </w: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1414"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环保设施名称及主要工艺</w:t>
            </w:r>
          </w:p>
        </w:tc>
        <w:tc>
          <w:tcPr>
            <w:tcW w:w="1688" w:type="dxa"/>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p>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执行标准</w:t>
            </w: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275" w:type="dxa"/>
            <w:vMerge w:val="restart"/>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p>
            <w:pPr>
              <w:bidi w:val="0"/>
              <w:rPr>
                <w:rFonts w:hint="default"/>
                <w:sz w:val="22"/>
                <w:szCs w:val="22"/>
                <w:lang w:val="en-US" w:eastAsia="zh-CN"/>
              </w:rPr>
            </w:pPr>
          </w:p>
          <w:p>
            <w:pPr>
              <w:bidi w:val="0"/>
              <w:rPr>
                <w:rFonts w:hint="default"/>
                <w:sz w:val="22"/>
                <w:szCs w:val="22"/>
                <w:lang w:val="en-US" w:eastAsia="zh-CN"/>
              </w:rPr>
            </w:pPr>
          </w:p>
          <w:p>
            <w:pPr>
              <w:bidi w:val="0"/>
              <w:jc w:val="center"/>
              <w:rPr>
                <w:rFonts w:hint="default"/>
                <w:sz w:val="22"/>
                <w:szCs w:val="22"/>
                <w:lang w:val="en-US" w:eastAsia="zh-CN"/>
              </w:rPr>
            </w:pPr>
            <w:r>
              <w:rPr>
                <w:rFonts w:hint="eastAsia"/>
                <w:sz w:val="22"/>
                <w:szCs w:val="22"/>
                <w:lang w:val="en-US" w:eastAsia="zh-CN"/>
              </w:rPr>
              <w:t>焚烧炉</w:t>
            </w: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颗粒物（mg/m³）</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30</w:t>
            </w:r>
          </w:p>
        </w:tc>
        <w:tc>
          <w:tcPr>
            <w:tcW w:w="1414" w:type="dxa"/>
            <w:vMerge w:val="restart"/>
          </w:tcPr>
          <w:p>
            <w:pPr>
              <w:pStyle w:val="2"/>
              <w:keepNext w:val="0"/>
              <w:keepLines w:val="0"/>
              <w:widowControl/>
              <w:numPr>
                <w:ilvl w:val="0"/>
                <w:numId w:val="0"/>
              </w:numPr>
              <w:suppressLineNumbers w:val="0"/>
              <w:spacing w:before="0" w:beforeAutospacing="0" w:after="0" w:afterAutospacing="0"/>
              <w:ind w:right="0" w:rightChars="0"/>
              <w:jc w:val="center"/>
              <w:rPr>
                <w:rFonts w:hint="eastAsia" w:hAnsi="宋体"/>
                <w:color w:val="000000"/>
                <w:sz w:val="22"/>
                <w:szCs w:val="22"/>
                <w:lang w:val="zh-CN"/>
              </w:rPr>
            </w:pPr>
          </w:p>
          <w:p>
            <w:pPr>
              <w:pStyle w:val="2"/>
              <w:keepNext w:val="0"/>
              <w:keepLines w:val="0"/>
              <w:widowControl/>
              <w:numPr>
                <w:ilvl w:val="0"/>
                <w:numId w:val="0"/>
              </w:numPr>
              <w:suppressLineNumbers w:val="0"/>
              <w:spacing w:before="0" w:beforeAutospacing="0" w:after="0" w:afterAutospacing="0"/>
              <w:ind w:right="0" w:rightChars="0"/>
              <w:jc w:val="center"/>
              <w:rPr>
                <w:rFonts w:hint="eastAsia" w:hAnsi="宋体"/>
                <w:color w:val="000000"/>
                <w:sz w:val="22"/>
                <w:szCs w:val="22"/>
                <w:lang w:val="zh-CN"/>
              </w:rPr>
            </w:pP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cs="宋体" w:eastAsiaTheme="minorEastAsia"/>
                <w:i w:val="0"/>
                <w:iCs w:val="0"/>
                <w:caps w:val="0"/>
                <w:color w:val="000000"/>
                <w:spacing w:val="0"/>
                <w:sz w:val="22"/>
                <w:szCs w:val="22"/>
                <w:vertAlign w:val="baseline"/>
                <w:lang w:val="en-US" w:eastAsia="zh-CN"/>
              </w:rPr>
            </w:pPr>
            <w:r>
              <w:rPr>
                <w:rFonts w:hint="eastAsia" w:hAnsi="宋体"/>
                <w:color w:val="000000"/>
                <w:sz w:val="22"/>
                <w:szCs w:val="22"/>
                <w:lang w:val="zh-CN"/>
              </w:rPr>
              <w:t>SNCR+半干法＋干法+活性炭喷射+布袋除尘器</w:t>
            </w:r>
            <w:r>
              <w:rPr>
                <w:rFonts w:hint="eastAsia" w:hAnsi="宋体"/>
                <w:color w:val="000000"/>
                <w:sz w:val="22"/>
                <w:szCs w:val="22"/>
                <w:lang w:val="en-US" w:eastAsia="zh-CN"/>
              </w:rPr>
              <w:t>+80米排气筒</w:t>
            </w:r>
          </w:p>
        </w:tc>
        <w:tc>
          <w:tcPr>
            <w:tcW w:w="1688" w:type="dxa"/>
            <w:vMerge w:val="restart"/>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default" w:ascii="宋体" w:hAnsi="宋体" w:eastAsia="宋体" w:cs="宋体"/>
                <w:i w:val="0"/>
                <w:iCs w:val="0"/>
                <w:caps w:val="0"/>
                <w:color w:val="000000"/>
                <w:spacing w:val="0"/>
                <w:sz w:val="22"/>
                <w:szCs w:val="22"/>
                <w:vertAlign w:val="baseline"/>
                <w:lang w:val="en-US" w:eastAsia="zh-CN"/>
              </w:rPr>
              <w:t>生活垃圾焚烧污染控制标准》（GB 18485-2014）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275"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二氧化硫（mg/m³）</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100</w:t>
            </w:r>
          </w:p>
        </w:tc>
        <w:tc>
          <w:tcPr>
            <w:tcW w:w="1414"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1688"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275"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氮氧化物（mg/m³）</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300</w:t>
            </w:r>
          </w:p>
        </w:tc>
        <w:tc>
          <w:tcPr>
            <w:tcW w:w="1414"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1688"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275"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氯化氢（mg/m³）</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60</w:t>
            </w:r>
          </w:p>
        </w:tc>
        <w:tc>
          <w:tcPr>
            <w:tcW w:w="1414"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1688"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275"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一氧化碳（mg/m³）</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100</w:t>
            </w:r>
          </w:p>
        </w:tc>
        <w:tc>
          <w:tcPr>
            <w:tcW w:w="1414"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1688"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275"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w:t>
            </w: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污染物项目</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p>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小时限值</w:t>
            </w:r>
          </w:p>
          <w:p>
            <w:pPr>
              <w:pStyle w:val="2"/>
              <w:keepNext w:val="0"/>
              <w:keepLines w:val="0"/>
              <w:widowControl/>
              <w:numPr>
                <w:ilvl w:val="0"/>
                <w:numId w:val="0"/>
              </w:numPr>
              <w:suppressLineNumbers w:val="0"/>
              <w:spacing w:before="0" w:beforeAutospacing="0" w:after="0" w:afterAutospacing="0"/>
              <w:ind w:right="0" w:rightChars="0" w:firstLine="440" w:firstLineChars="200"/>
              <w:jc w:val="both"/>
              <w:rPr>
                <w:rFonts w:hint="default" w:ascii="宋体" w:hAnsi="宋体" w:eastAsia="宋体" w:cs="宋体"/>
                <w:i w:val="0"/>
                <w:iCs w:val="0"/>
                <w:caps w:val="0"/>
                <w:color w:val="000000"/>
                <w:spacing w:val="0"/>
                <w:sz w:val="22"/>
                <w:szCs w:val="22"/>
                <w:vertAlign w:val="baseline"/>
                <w:lang w:val="en-US" w:eastAsia="zh-CN"/>
              </w:rPr>
            </w:pPr>
          </w:p>
        </w:tc>
        <w:tc>
          <w:tcPr>
            <w:tcW w:w="1414"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环保设施名称及主要工艺</w:t>
            </w:r>
          </w:p>
        </w:tc>
        <w:tc>
          <w:tcPr>
            <w:tcW w:w="1688" w:type="dxa"/>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p>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执行标准</w:t>
            </w: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275"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汞及其化合物（以Hg计）（mg/m³）</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0.05</w:t>
            </w:r>
          </w:p>
        </w:tc>
        <w:tc>
          <w:tcPr>
            <w:tcW w:w="1414" w:type="dxa"/>
            <w:vMerge w:val="restart"/>
          </w:tcPr>
          <w:p>
            <w:pPr>
              <w:pStyle w:val="2"/>
              <w:keepNext w:val="0"/>
              <w:keepLines w:val="0"/>
              <w:widowControl/>
              <w:numPr>
                <w:ilvl w:val="0"/>
                <w:numId w:val="0"/>
              </w:numPr>
              <w:suppressLineNumbers w:val="0"/>
              <w:spacing w:before="0" w:beforeAutospacing="0" w:after="0" w:afterAutospacing="0"/>
              <w:ind w:right="0" w:rightChars="0"/>
              <w:jc w:val="center"/>
              <w:rPr>
                <w:rFonts w:hint="eastAsia" w:hAnsi="宋体"/>
                <w:color w:val="000000"/>
                <w:sz w:val="22"/>
                <w:szCs w:val="22"/>
                <w:lang w:val="zh-CN"/>
              </w:rPr>
            </w:pP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hAnsi="宋体"/>
                <w:color w:val="000000"/>
                <w:sz w:val="22"/>
                <w:szCs w:val="22"/>
                <w:lang w:val="zh-CN"/>
              </w:rPr>
              <w:t>SNCR+半干法＋干法+活性炭喷射+布袋除尘器</w:t>
            </w:r>
            <w:r>
              <w:rPr>
                <w:rFonts w:hint="eastAsia" w:hAnsi="宋体"/>
                <w:color w:val="000000"/>
                <w:sz w:val="22"/>
                <w:szCs w:val="22"/>
                <w:lang w:val="en-US" w:eastAsia="zh-CN"/>
              </w:rPr>
              <w:t>+80米排气筒</w:t>
            </w:r>
          </w:p>
        </w:tc>
        <w:tc>
          <w:tcPr>
            <w:tcW w:w="1688" w:type="dxa"/>
            <w:vMerge w:val="restart"/>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default" w:ascii="宋体" w:hAnsi="宋体" w:eastAsia="宋体" w:cs="宋体"/>
                <w:i w:val="0"/>
                <w:iCs w:val="0"/>
                <w:caps w:val="0"/>
                <w:color w:val="000000"/>
                <w:spacing w:val="0"/>
                <w:sz w:val="22"/>
                <w:szCs w:val="22"/>
                <w:vertAlign w:val="baseline"/>
                <w:lang w:val="en-US" w:eastAsia="zh-CN"/>
              </w:rPr>
              <w:t>生活垃圾焚烧污染控制标准》（GB 18485-2014）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镉、铊及其化合物（以Cd+TI计）（mg/m³）</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0.1</w:t>
            </w:r>
          </w:p>
        </w:tc>
        <w:tc>
          <w:tcPr>
            <w:tcW w:w="1414"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8"/>
                <w:szCs w:val="28"/>
                <w:vertAlign w:val="baseline"/>
                <w:lang w:val="en-US" w:eastAsia="zh-CN"/>
              </w:rPr>
            </w:pPr>
          </w:p>
        </w:tc>
        <w:tc>
          <w:tcPr>
            <w:tcW w:w="1688"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锑、砷、铅、铬、钴、铜、锰、镍及其化合物（以Sb+As+Pb+Cr+Co+Cu+Mn+Ni计）（mg/m³）</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eastAsia" w:ascii="宋体" w:hAnsi="宋体" w:eastAsia="宋体" w:cs="宋体"/>
                <w:i w:val="0"/>
                <w:iCs w:val="0"/>
                <w:caps w:val="0"/>
                <w:color w:val="000000"/>
                <w:spacing w:val="0"/>
                <w:sz w:val="22"/>
                <w:szCs w:val="22"/>
                <w:vertAlign w:val="baseline"/>
                <w:lang w:val="en-US" w:eastAsia="zh-CN"/>
              </w:rPr>
            </w:pPr>
          </w:p>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1</w:t>
            </w:r>
          </w:p>
        </w:tc>
        <w:tc>
          <w:tcPr>
            <w:tcW w:w="1414"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8"/>
                <w:szCs w:val="28"/>
                <w:vertAlign w:val="baseline"/>
                <w:lang w:val="en-US" w:eastAsia="zh-CN"/>
              </w:rPr>
            </w:pPr>
          </w:p>
        </w:tc>
        <w:tc>
          <w:tcPr>
            <w:tcW w:w="1688"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p>
        </w:tc>
        <w:tc>
          <w:tcPr>
            <w:tcW w:w="2746"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二噁英类（ng TEQ/m³）</w:t>
            </w:r>
          </w:p>
        </w:tc>
        <w:tc>
          <w:tcPr>
            <w:tcW w:w="1399" w:type="dxa"/>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2"/>
                <w:szCs w:val="22"/>
                <w:vertAlign w:val="baseline"/>
                <w:lang w:val="en-US" w:eastAsia="zh-CN"/>
              </w:rPr>
            </w:pPr>
            <w:r>
              <w:rPr>
                <w:rFonts w:hint="eastAsia" w:ascii="宋体" w:hAnsi="宋体" w:eastAsia="宋体" w:cs="宋体"/>
                <w:i w:val="0"/>
                <w:iCs w:val="0"/>
                <w:caps w:val="0"/>
                <w:color w:val="000000"/>
                <w:spacing w:val="0"/>
                <w:sz w:val="22"/>
                <w:szCs w:val="22"/>
                <w:vertAlign w:val="baseline"/>
                <w:lang w:val="en-US" w:eastAsia="zh-CN"/>
              </w:rPr>
              <w:t>0.1</w:t>
            </w:r>
          </w:p>
        </w:tc>
        <w:tc>
          <w:tcPr>
            <w:tcW w:w="1414"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8"/>
                <w:szCs w:val="28"/>
                <w:vertAlign w:val="baseline"/>
                <w:lang w:val="en-US" w:eastAsia="zh-CN"/>
              </w:rPr>
            </w:pPr>
          </w:p>
        </w:tc>
        <w:tc>
          <w:tcPr>
            <w:tcW w:w="1688" w:type="dxa"/>
            <w:vMerge w:val="continue"/>
          </w:tcPr>
          <w:p>
            <w:pPr>
              <w:pStyle w:val="2"/>
              <w:keepNext w:val="0"/>
              <w:keepLines w:val="0"/>
              <w:widowControl/>
              <w:numPr>
                <w:ilvl w:val="0"/>
                <w:numId w:val="0"/>
              </w:numPr>
              <w:suppressLineNumbers w:val="0"/>
              <w:spacing w:before="0" w:beforeAutospacing="0" w:after="0" w:afterAutospacing="0"/>
              <w:ind w:right="0" w:rightChars="0"/>
              <w:jc w:val="center"/>
              <w:rPr>
                <w:rFonts w:hint="default" w:ascii="宋体" w:hAnsi="宋体" w:eastAsia="宋体" w:cs="宋体"/>
                <w:i w:val="0"/>
                <w:iCs w:val="0"/>
                <w:caps w:val="0"/>
                <w:color w:val="000000"/>
                <w:spacing w:val="0"/>
                <w:sz w:val="28"/>
                <w:szCs w:val="28"/>
                <w:vertAlign w:val="baseline"/>
                <w:lang w:val="en-US" w:eastAsia="zh-CN"/>
              </w:rPr>
            </w:pPr>
          </w:p>
        </w:tc>
      </w:tr>
    </w:tbl>
    <w:p>
      <w:pPr>
        <w:pStyle w:val="2"/>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烟气排放在线监控设置：我公司在两台焚烧炉烟气排放口设置了烟气排放在线监控系统，并已联网，已于2017年5月31日通过验收备案，2021年委托了四川尚净诚科技有限公司对我公司进行运行维护保养工作。在2021年，我公司委托广西华测检测认证有限公司对废气排放按排污许可执行标准对各项目进行监测，从2021年度监测结果来看，废气排放各项指标均达到国家排放标准。</w:t>
      </w:r>
    </w:p>
    <w:p>
      <w:pPr>
        <w:pStyle w:val="2"/>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leftChars="0" w:right="0" w:rightChars="0" w:firstLine="0" w:firstLineChars="0"/>
        <w:jc w:val="left"/>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其它污染防治措施</w:t>
      </w:r>
    </w:p>
    <w:p>
      <w:pPr>
        <w:pStyle w:val="2"/>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公司已建设一套日处理能力为180m³的渗滤液处理站及配套设施，用作处理渗滤液、厂区生活污水、初期雨水等，这部分水经渗滤液站处理后，各项指标达到了排放标准内，但这部分水仅用于循环水使用，循环利用不外排。</w:t>
      </w:r>
    </w:p>
    <w:p>
      <w:pPr>
        <w:pStyle w:val="2"/>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left"/>
        <w:rPr>
          <w:rFonts w:hint="default"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在2021年，我公司针对危险废物规范化管理共展开7次培训，在2021年9月份组织一次灰渣泄漏演练，进一步提高企业的应急处置能力。</w:t>
      </w:r>
    </w:p>
    <w:p>
      <w:pPr>
        <w:pStyle w:val="2"/>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right="0" w:rightChars="0"/>
        <w:jc w:val="left"/>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在2021年，我公司在危险废物规范化管理上高度重视，从危险废物的产生、运输、暂存、处置各个环节严格按照危险废物规范化管理执行，采取了专业技术</w:t>
      </w:r>
      <w:bookmarkStart w:id="0" w:name="_GoBack"/>
      <w:bookmarkEnd w:id="0"/>
      <w:r>
        <w:rPr>
          <w:rFonts w:hint="eastAsia" w:ascii="宋体" w:hAnsi="宋体" w:eastAsia="宋体" w:cs="宋体"/>
          <w:i w:val="0"/>
          <w:iCs w:val="0"/>
          <w:caps w:val="0"/>
          <w:color w:val="000000"/>
          <w:spacing w:val="0"/>
          <w:sz w:val="28"/>
          <w:szCs w:val="28"/>
          <w:lang w:val="en-US" w:eastAsia="zh-CN"/>
        </w:rPr>
        <w:t>措施和管理措施减少各类污染物的排放，并达到了国家相关排放标准要求，</w:t>
      </w:r>
      <w:r>
        <w:rPr>
          <w:rFonts w:hint="eastAsia" w:ascii="宋体" w:hAnsi="宋体" w:eastAsia="宋体" w:cs="宋体"/>
          <w:i w:val="0"/>
          <w:iCs w:val="0"/>
          <w:caps w:val="0"/>
          <w:color w:val="000000"/>
          <w:spacing w:val="0"/>
          <w:sz w:val="28"/>
          <w:szCs w:val="28"/>
        </w:rPr>
        <w:t>在今后的生产经营过程中，严格按照相关环保要求，完善各方面的管理，达到规范化管理。</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7000">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4A0E4B"/>
    <w:multiLevelType w:val="singleLevel"/>
    <w:tmpl w:val="A94A0E4B"/>
    <w:lvl w:ilvl="0" w:tentative="0">
      <w:start w:val="1"/>
      <w:numFmt w:val="decimal"/>
      <w:suff w:val="nothing"/>
      <w:lvlText w:val="%1、"/>
      <w:lvlJc w:val="left"/>
    </w:lvl>
  </w:abstractNum>
  <w:abstractNum w:abstractNumId="1">
    <w:nsid w:val="0E176C4A"/>
    <w:multiLevelType w:val="singleLevel"/>
    <w:tmpl w:val="0E176C4A"/>
    <w:lvl w:ilvl="0" w:tentative="0">
      <w:start w:val="1"/>
      <w:numFmt w:val="decimal"/>
      <w:suff w:val="nothing"/>
      <w:lvlText w:val="%1）"/>
      <w:lvlJc w:val="left"/>
    </w:lvl>
  </w:abstractNum>
  <w:abstractNum w:abstractNumId="2">
    <w:nsid w:val="5823BF9E"/>
    <w:multiLevelType w:val="singleLevel"/>
    <w:tmpl w:val="5823BF9E"/>
    <w:lvl w:ilvl="0" w:tentative="0">
      <w:start w:val="2"/>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B9136E"/>
    <w:rsid w:val="3CFE0FE8"/>
    <w:rsid w:val="42CC7941"/>
    <w:rsid w:val="5CF4592D"/>
    <w:rsid w:val="7CAA0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2021-12-16T00:36:00Z</dcterms:created>
  <dc:creator>Administrator</dc:creator>
  <cp:lastModifiedBy>WHITEL</cp:lastModifiedBy>
  <dcterms:modified xsi:type="dcterms:W3CDTF">2022-03-15T01:32:27Z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731843D784814CA9AAD44252AA443466</vt:lpwstr>
  </property>
</Properties>
</file>